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E3D944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00187269">
        <w:rPr>
          <w:rFonts w:ascii="Arial" w:hAnsi="Arial"/>
          <w:b/>
          <w:noProof/>
          <w:sz w:val="24"/>
        </w:rPr>
        <w:t>10</w:t>
      </w:r>
      <w:r w:rsidR="000D17EC">
        <w:rPr>
          <w:rFonts w:ascii="Arial" w:hAnsi="Arial"/>
          <w:b/>
          <w:noProof/>
          <w:sz w:val="24"/>
        </w:rPr>
        <w:t>1</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343D24" w:rsidRPr="00343D24">
        <w:rPr>
          <w:rFonts w:ascii="Arial" w:hAnsi="Arial"/>
          <w:b/>
          <w:i/>
          <w:noProof/>
          <w:sz w:val="28"/>
        </w:rPr>
        <w:t>2118747</w:t>
      </w:r>
    </w:p>
    <w:p w14:paraId="5CA9C46A" w14:textId="42D88CE2"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0D17EC">
        <w:rPr>
          <w:rFonts w:ascii="Arial" w:hAnsi="Arial"/>
          <w:b/>
          <w:noProof/>
          <w:sz w:val="24"/>
        </w:rPr>
        <w:t>1</w:t>
      </w:r>
      <w:r w:rsidRPr="006B42B9">
        <w:rPr>
          <w:rFonts w:ascii="Arial" w:hAnsi="Arial"/>
          <w:b/>
          <w:noProof/>
          <w:sz w:val="24"/>
        </w:rPr>
        <w:t xml:space="preserve"> – </w:t>
      </w:r>
      <w:r w:rsidR="000D17EC">
        <w:rPr>
          <w:rFonts w:ascii="Arial" w:hAnsi="Arial"/>
          <w:b/>
          <w:noProof/>
          <w:sz w:val="24"/>
        </w:rPr>
        <w:t>12</w:t>
      </w:r>
      <w:r w:rsidRPr="006B42B9">
        <w:rPr>
          <w:rFonts w:ascii="Arial" w:hAnsi="Arial"/>
          <w:b/>
          <w:noProof/>
          <w:sz w:val="24"/>
        </w:rPr>
        <w:t xml:space="preserve"> </w:t>
      </w:r>
      <w:r w:rsidR="000D17EC">
        <w:rPr>
          <w:rFonts w:ascii="Arial" w:hAnsi="Arial"/>
          <w:b/>
          <w:noProof/>
          <w:sz w:val="24"/>
        </w:rPr>
        <w:t>November</w:t>
      </w:r>
      <w:r w:rsidR="00187269" w:rsidRPr="006B42B9">
        <w:rPr>
          <w:rFonts w:ascii="Arial" w:hAnsi="Arial"/>
          <w:b/>
          <w:noProof/>
          <w:sz w:val="24"/>
        </w:rPr>
        <w:t xml:space="preserve"> </w:t>
      </w:r>
      <w:r w:rsidRPr="006B42B9">
        <w:rPr>
          <w:rFonts w:ascii="Arial" w:hAnsi="Arial"/>
          <w:b/>
          <w:noProof/>
          <w:sz w:val="24"/>
        </w:rPr>
        <w:t>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031A0239"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80A0F">
        <w:rPr>
          <w:rFonts w:ascii="Arial" w:hAnsi="Arial" w:cs="Arial"/>
          <w:bCs/>
          <w:lang w:val="en-US"/>
        </w:rPr>
        <w:t>Radiated</w:t>
      </w:r>
      <w:r w:rsidR="00D633BC">
        <w:rPr>
          <w:rFonts w:ascii="Arial" w:hAnsi="Arial" w:cs="Arial"/>
          <w:bCs/>
          <w:lang w:val="en-US"/>
        </w:rPr>
        <w:t xml:space="preserve"> unwanted emissions</w:t>
      </w:r>
      <w:r w:rsidR="00280A0F">
        <w:rPr>
          <w:rFonts w:ascii="Arial" w:hAnsi="Arial" w:cs="Arial"/>
          <w:bCs/>
          <w:lang w:val="en-US"/>
        </w:rPr>
        <w:t xml:space="preserve"> for FR2 repeaters</w:t>
      </w:r>
    </w:p>
    <w:p w14:paraId="7424431B" w14:textId="684B8363"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CB5227">
        <w:rPr>
          <w:rFonts w:ascii="Arial" w:hAnsi="Arial" w:cs="Arial"/>
          <w:lang w:val="en-US"/>
        </w:rPr>
        <w:t>8</w:t>
      </w:r>
      <w:r w:rsidR="004B7EB4" w:rsidRPr="00AC1015">
        <w:rPr>
          <w:rFonts w:ascii="Arial" w:hAnsi="Arial" w:cs="Arial"/>
          <w:lang w:val="en-US"/>
        </w:rPr>
        <w:t>.5.</w:t>
      </w:r>
      <w:r w:rsidR="00280A0F">
        <w:rPr>
          <w:rFonts w:ascii="Arial" w:hAnsi="Arial" w:cs="Arial"/>
          <w:lang w:val="en-US"/>
        </w:rPr>
        <w:t>3</w:t>
      </w:r>
      <w:r w:rsidR="004B7EB4" w:rsidRPr="00AC1015">
        <w:rPr>
          <w:rFonts w:ascii="Arial" w:hAnsi="Arial" w:cs="Arial"/>
          <w:lang w:val="en-US"/>
        </w:rPr>
        <w:t>.</w:t>
      </w:r>
      <w:r w:rsidR="00280A0F">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3F8193F2" w14:textId="699C6216" w:rsidR="008A263D" w:rsidRDefault="00080DA2" w:rsidP="00904C26">
      <w:pPr>
        <w:tabs>
          <w:tab w:val="left" w:pos="7935"/>
        </w:tabs>
        <w:rPr>
          <w:lang w:val="en-US"/>
        </w:rPr>
      </w:pPr>
      <w:r w:rsidRPr="00080DA2">
        <w:rPr>
          <w:noProof/>
          <w:lang w:val="en-US"/>
        </w:rPr>
        <mc:AlternateContent>
          <mc:Choice Requires="wps">
            <w:drawing>
              <wp:anchor distT="45720" distB="45720" distL="114300" distR="114300" simplePos="0" relativeHeight="251658240" behindDoc="0" locked="0" layoutInCell="1" allowOverlap="1" wp14:anchorId="5C8389C7" wp14:editId="58DE7787">
                <wp:simplePos x="0" y="0"/>
                <wp:positionH relativeFrom="column">
                  <wp:posOffset>106680</wp:posOffset>
                </wp:positionH>
                <wp:positionV relativeFrom="paragraph">
                  <wp:posOffset>437515</wp:posOffset>
                </wp:positionV>
                <wp:extent cx="6010275" cy="2200910"/>
                <wp:effectExtent l="0" t="0" r="2857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2200910"/>
                        </a:xfrm>
                        <a:prstGeom prst="rect">
                          <a:avLst/>
                        </a:prstGeom>
                        <a:solidFill>
                          <a:srgbClr val="FFFFFF"/>
                        </a:solidFill>
                        <a:ln w="9525">
                          <a:solidFill>
                            <a:srgbClr val="000000"/>
                          </a:solidFill>
                          <a:miter lim="800000"/>
                          <a:headEnd/>
                          <a:tailEnd/>
                        </a:ln>
                      </wps:spPr>
                      <wps:txbx>
                        <w:txbxContent>
                          <w:p w14:paraId="315CC108" w14:textId="08F3A16E" w:rsidR="00280A0F" w:rsidRDefault="00280A0F" w:rsidP="00450D42">
                            <w:pPr>
                              <w:rPr>
                                <w:lang w:eastAsia="sv-SE"/>
                              </w:rPr>
                            </w:pPr>
                            <w:proofErr w:type="gramStart"/>
                            <w:r>
                              <w:rPr>
                                <w:lang w:eastAsia="sv-SE"/>
                              </w:rPr>
                              <w:t>A number of</w:t>
                            </w:r>
                            <w:proofErr w:type="gramEnd"/>
                            <w:r>
                              <w:rPr>
                                <w:lang w:eastAsia="sv-SE"/>
                              </w:rPr>
                              <w:t xml:space="preserve"> the emissions requirements are being discussed in both the radiated and conducted topic areas. It has been agreed for the radiated to follow the conducted when the issue is the same.</w:t>
                            </w:r>
                          </w:p>
                          <w:p w14:paraId="5FB5A072" w14:textId="419FFA93" w:rsidR="00450D42" w:rsidRDefault="00450D42" w:rsidP="00450D42">
                            <w:pPr>
                              <w:rPr>
                                <w:highlight w:val="green"/>
                                <w:lang w:eastAsia="sv-SE"/>
                              </w:rPr>
                            </w:pPr>
                            <w:r>
                              <w:rPr>
                                <w:lang w:eastAsia="sv-SE"/>
                              </w:rPr>
                              <w:t>The following agreements have been made:</w:t>
                            </w:r>
                          </w:p>
                          <w:p w14:paraId="55D917F2" w14:textId="77777777" w:rsidR="00450D42" w:rsidRDefault="00450D42" w:rsidP="00450D42">
                            <w:pPr>
                              <w:pStyle w:val="ListParagraph"/>
                              <w:numPr>
                                <w:ilvl w:val="0"/>
                                <w:numId w:val="47"/>
                              </w:numPr>
                              <w:overflowPunct/>
                              <w:autoSpaceDE/>
                              <w:autoSpaceDN/>
                              <w:adjustRightInd/>
                              <w:contextualSpacing w:val="0"/>
                              <w:textAlignment w:val="auto"/>
                              <w:rPr>
                                <w:highlight w:val="green"/>
                                <w:lang w:eastAsia="sv-SE"/>
                              </w:rPr>
                            </w:pPr>
                            <w:r>
                              <w:rPr>
                                <w:highlight w:val="green"/>
                                <w:lang w:eastAsia="sv-SE"/>
                              </w:rPr>
                              <w:t xml:space="preserve"> Spurious emissions will be the same as the BS spurious emissions</w:t>
                            </w:r>
                          </w:p>
                          <w:p w14:paraId="0478734A" w14:textId="77777777" w:rsidR="00450D42" w:rsidRDefault="00450D42" w:rsidP="00450D42">
                            <w:pPr>
                              <w:pStyle w:val="ListParagraph"/>
                              <w:numPr>
                                <w:ilvl w:val="0"/>
                                <w:numId w:val="47"/>
                              </w:numPr>
                              <w:overflowPunct/>
                              <w:autoSpaceDE/>
                              <w:autoSpaceDN/>
                              <w:adjustRightInd/>
                              <w:contextualSpacing w:val="0"/>
                              <w:textAlignment w:val="auto"/>
                              <w:rPr>
                                <w:highlight w:val="green"/>
                                <w:lang w:eastAsia="sv-SE"/>
                              </w:rPr>
                            </w:pPr>
                            <w:r>
                              <w:rPr>
                                <w:highlight w:val="green"/>
                                <w:lang w:eastAsia="sv-SE"/>
                              </w:rPr>
                              <w:t>Additional spurious emissions will be the same as the BS additional spurious emissions</w:t>
                            </w:r>
                          </w:p>
                          <w:p w14:paraId="1BEB7F3A" w14:textId="77777777" w:rsidR="00450D42" w:rsidRDefault="00450D42" w:rsidP="00450D42">
                            <w:pPr>
                              <w:pStyle w:val="ListParagraph"/>
                              <w:numPr>
                                <w:ilvl w:val="0"/>
                                <w:numId w:val="47"/>
                              </w:numPr>
                              <w:overflowPunct/>
                              <w:autoSpaceDE/>
                              <w:autoSpaceDN/>
                              <w:adjustRightInd/>
                              <w:contextualSpacing w:val="0"/>
                              <w:textAlignment w:val="auto"/>
                              <w:rPr>
                                <w:highlight w:val="green"/>
                                <w:lang w:eastAsia="sv-SE"/>
                              </w:rPr>
                            </w:pPr>
                            <w:r>
                              <w:rPr>
                                <w:highlight w:val="green"/>
                                <w:lang w:eastAsia="sv-SE"/>
                              </w:rPr>
                              <w:t>EESS protection the same as the UE requirements will be added without the NS concept.</w:t>
                            </w:r>
                          </w:p>
                          <w:p w14:paraId="347CA764" w14:textId="77777777" w:rsidR="00450D42" w:rsidRDefault="00450D42" w:rsidP="00450D42">
                            <w:pPr>
                              <w:rPr>
                                <w:lang w:eastAsia="sv-SE"/>
                              </w:rPr>
                            </w:pPr>
                            <w:r>
                              <w:rPr>
                                <w:lang w:eastAsia="sv-SE"/>
                              </w:rPr>
                              <w:t>And the following open issue has been identified:</w:t>
                            </w:r>
                          </w:p>
                          <w:p w14:paraId="3966562F" w14:textId="00523537" w:rsidR="008A263D" w:rsidRPr="00450D42" w:rsidRDefault="00450D42" w:rsidP="00450D42">
                            <w:pPr>
                              <w:pStyle w:val="ListParagraph"/>
                              <w:numPr>
                                <w:ilvl w:val="0"/>
                                <w:numId w:val="47"/>
                              </w:numPr>
                              <w:overflowPunct/>
                              <w:autoSpaceDE/>
                              <w:autoSpaceDN/>
                              <w:adjustRightInd/>
                              <w:contextualSpacing w:val="0"/>
                              <w:textAlignment w:val="auto"/>
                              <w:rPr>
                                <w:highlight w:val="yellow"/>
                                <w:lang w:eastAsia="sv-SE"/>
                              </w:rPr>
                            </w:pPr>
                            <w:r>
                              <w:rPr>
                                <w:highlight w:val="yellow"/>
                                <w:lang w:eastAsia="sv-SE"/>
                              </w:rPr>
                              <w:t>ACLR – this is being discussed for conducted, the same principle will be used for radiated although FR2 values will be different and can be further discussed once the principles are agreed (for conducted)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8389C7" id="_x0000_t202" coordsize="21600,21600" o:spt="202" path="m,l,21600r21600,l21600,xe">
                <v:stroke joinstyle="miter"/>
                <v:path gradientshapeok="t" o:connecttype="rect"/>
              </v:shapetype>
              <v:shape id="Text Box 2" o:spid="_x0000_s1026" type="#_x0000_t202" style="position:absolute;margin-left:8.4pt;margin-top:34.45pt;width:473.25pt;height:173.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P1uJAIAAEcEAAAOAAAAZHJzL2Uyb0RvYy54bWysU9tu2zAMfR+wfxD0vjg2kqYx6hRdugwD&#10;ugvQ7gMYWY6FSaInKbGzrx8lp1nQbS/D9CCIInVEnkPe3A5Gs4N0XqGteD6ZciatwFrZXcW/Pm3e&#10;XHPmA9gaNFpZ8aP0/Hb1+tVN35WywBZ1LR0jEOvLvqt4G0JXZpkXrTTgJ9hJS84GnYFApttltYOe&#10;0I3Oiun0KuvR1Z1DIb2n2/vRyVcJv2mkCJ+bxsvAdMUpt5B2l/Zt3LPVDZQ7B12rxCkN+IcsDChL&#10;n56h7iEA2zv1G5RRwqHHJkwEmgybRgmZaqBq8umLah5b6GSqhcjx3Zkm//9gxafDF8dUXfEiX3Bm&#10;wZBIT3II7C0OrIj89J0vKeyxo8Aw0DXpnGr13QOKb55ZXLdgd/LOOexbCTXll8eX2cXTEcdHkG3/&#10;EWv6BvYBE9DQOBPJIzoYoZNOx7M2MRVBl1dET7GYcybIV5D0yzypl0H5/LxzPryXaFg8VNyR+Ake&#10;Dg8+xHSgfA6Jv3nUqt4orZPhdtu1duwA1CibtFIFL8K0ZX3Fl/NiPjLwV4hpWn+CMCpQx2tlKn59&#10;DoIy8vbO1qkfAyg9nillbU9ERu5GFsOwHU7CbLE+EqUOx86mSaRDi+4HZz11dcX99z04yZn+YEmW&#10;ZT6bxTFIxmy+KMhwl57tpQesIKiKB87G4zqk0YmEWbwj+RqViI06j5mccqVuTXyfJiuOw6Wdon7N&#10;/+onAAAA//8DAFBLAwQUAAYACAAAACEA8mrAJ98AAAAJAQAADwAAAGRycy9kb3ducmV2LnhtbEyP&#10;wU7DMBBE70j8g7VIXBB1SlqThDgVQgLBDQqCqxtvkwh7HWw3DX+POcFxNKOZN/VmtoZN6MPgSMJy&#10;kQFDap0eqJPw9np/WQALUZFWxhFK+MYAm+b0pFaVdkd6wWkbO5ZKKFRKQh/jWHEe2h6tCgs3IiVv&#10;77xVMUnfce3VMZVbw6+yTHCrBkoLvRrxrsf2c3uwEorV4/QRnvLn91bsTRkvrqeHLy/l+dl8ewMs&#10;4hz/wvCLn9ChSUw7dyAdmElaJPIoQRQlsOSXIs+B7SSslus18Kbm/x80PwAAAP//AwBQSwECLQAU&#10;AAYACAAAACEAtoM4kv4AAADhAQAAEwAAAAAAAAAAAAAAAAAAAAAAW0NvbnRlbnRfVHlwZXNdLnht&#10;bFBLAQItABQABgAIAAAAIQA4/SH/1gAAAJQBAAALAAAAAAAAAAAAAAAAAC8BAABfcmVscy8ucmVs&#10;c1BLAQItABQABgAIAAAAIQA4HP1uJAIAAEcEAAAOAAAAAAAAAAAAAAAAAC4CAABkcnMvZTJvRG9j&#10;LnhtbFBLAQItABQABgAIAAAAIQDyasAn3wAAAAkBAAAPAAAAAAAAAAAAAAAAAH4EAABkcnMvZG93&#10;bnJldi54bWxQSwUGAAAAAAQABADzAAAAigUAAAAA&#10;">
                <v:textbox>
                  <w:txbxContent>
                    <w:p w14:paraId="315CC108" w14:textId="08F3A16E" w:rsidR="00280A0F" w:rsidRDefault="00280A0F" w:rsidP="00450D42">
                      <w:pPr>
                        <w:rPr>
                          <w:lang w:eastAsia="sv-SE"/>
                        </w:rPr>
                      </w:pPr>
                      <w:proofErr w:type="gramStart"/>
                      <w:r>
                        <w:rPr>
                          <w:lang w:eastAsia="sv-SE"/>
                        </w:rPr>
                        <w:t>A number of</w:t>
                      </w:r>
                      <w:proofErr w:type="gramEnd"/>
                      <w:r>
                        <w:rPr>
                          <w:lang w:eastAsia="sv-SE"/>
                        </w:rPr>
                        <w:t xml:space="preserve"> the emissions requirements are being discussed in both the radiated and conducted topic areas. It has been agreed for the radiated to follow the conducted when the issue is the same.</w:t>
                      </w:r>
                    </w:p>
                    <w:p w14:paraId="5FB5A072" w14:textId="419FFA93" w:rsidR="00450D42" w:rsidRDefault="00450D42" w:rsidP="00450D42">
                      <w:pPr>
                        <w:rPr>
                          <w:highlight w:val="green"/>
                          <w:lang w:eastAsia="sv-SE"/>
                        </w:rPr>
                      </w:pPr>
                      <w:r>
                        <w:rPr>
                          <w:lang w:eastAsia="sv-SE"/>
                        </w:rPr>
                        <w:t>The following agreements have been made:</w:t>
                      </w:r>
                    </w:p>
                    <w:p w14:paraId="55D917F2" w14:textId="77777777" w:rsidR="00450D42" w:rsidRDefault="00450D42" w:rsidP="00450D42">
                      <w:pPr>
                        <w:pStyle w:val="ListParagraph"/>
                        <w:numPr>
                          <w:ilvl w:val="0"/>
                          <w:numId w:val="47"/>
                        </w:numPr>
                        <w:overflowPunct/>
                        <w:autoSpaceDE/>
                        <w:autoSpaceDN/>
                        <w:adjustRightInd/>
                        <w:contextualSpacing w:val="0"/>
                        <w:textAlignment w:val="auto"/>
                        <w:rPr>
                          <w:highlight w:val="green"/>
                          <w:lang w:eastAsia="sv-SE"/>
                        </w:rPr>
                      </w:pPr>
                      <w:r>
                        <w:rPr>
                          <w:highlight w:val="green"/>
                          <w:lang w:eastAsia="sv-SE"/>
                        </w:rPr>
                        <w:t xml:space="preserve"> Spurious emissions will be the same as the BS spurious emissions</w:t>
                      </w:r>
                    </w:p>
                    <w:p w14:paraId="0478734A" w14:textId="77777777" w:rsidR="00450D42" w:rsidRDefault="00450D42" w:rsidP="00450D42">
                      <w:pPr>
                        <w:pStyle w:val="ListParagraph"/>
                        <w:numPr>
                          <w:ilvl w:val="0"/>
                          <w:numId w:val="47"/>
                        </w:numPr>
                        <w:overflowPunct/>
                        <w:autoSpaceDE/>
                        <w:autoSpaceDN/>
                        <w:adjustRightInd/>
                        <w:contextualSpacing w:val="0"/>
                        <w:textAlignment w:val="auto"/>
                        <w:rPr>
                          <w:highlight w:val="green"/>
                          <w:lang w:eastAsia="sv-SE"/>
                        </w:rPr>
                      </w:pPr>
                      <w:r>
                        <w:rPr>
                          <w:highlight w:val="green"/>
                          <w:lang w:eastAsia="sv-SE"/>
                        </w:rPr>
                        <w:t>Additional spurious emissions will be the same as the BS additional spurious emissions</w:t>
                      </w:r>
                    </w:p>
                    <w:p w14:paraId="1BEB7F3A" w14:textId="77777777" w:rsidR="00450D42" w:rsidRDefault="00450D42" w:rsidP="00450D42">
                      <w:pPr>
                        <w:pStyle w:val="ListParagraph"/>
                        <w:numPr>
                          <w:ilvl w:val="0"/>
                          <w:numId w:val="47"/>
                        </w:numPr>
                        <w:overflowPunct/>
                        <w:autoSpaceDE/>
                        <w:autoSpaceDN/>
                        <w:adjustRightInd/>
                        <w:contextualSpacing w:val="0"/>
                        <w:textAlignment w:val="auto"/>
                        <w:rPr>
                          <w:highlight w:val="green"/>
                          <w:lang w:eastAsia="sv-SE"/>
                        </w:rPr>
                      </w:pPr>
                      <w:r>
                        <w:rPr>
                          <w:highlight w:val="green"/>
                          <w:lang w:eastAsia="sv-SE"/>
                        </w:rPr>
                        <w:t>EESS protection the same as the UE requirements will be added without the NS concept.</w:t>
                      </w:r>
                    </w:p>
                    <w:p w14:paraId="347CA764" w14:textId="77777777" w:rsidR="00450D42" w:rsidRDefault="00450D42" w:rsidP="00450D42">
                      <w:pPr>
                        <w:rPr>
                          <w:lang w:eastAsia="sv-SE"/>
                        </w:rPr>
                      </w:pPr>
                      <w:r>
                        <w:rPr>
                          <w:lang w:eastAsia="sv-SE"/>
                        </w:rPr>
                        <w:t>And the following open issue has been identified:</w:t>
                      </w:r>
                    </w:p>
                    <w:p w14:paraId="3966562F" w14:textId="00523537" w:rsidR="008A263D" w:rsidRPr="00450D42" w:rsidRDefault="00450D42" w:rsidP="00450D42">
                      <w:pPr>
                        <w:pStyle w:val="ListParagraph"/>
                        <w:numPr>
                          <w:ilvl w:val="0"/>
                          <w:numId w:val="47"/>
                        </w:numPr>
                        <w:overflowPunct/>
                        <w:autoSpaceDE/>
                        <w:autoSpaceDN/>
                        <w:adjustRightInd/>
                        <w:contextualSpacing w:val="0"/>
                        <w:textAlignment w:val="auto"/>
                        <w:rPr>
                          <w:highlight w:val="yellow"/>
                          <w:lang w:eastAsia="sv-SE"/>
                        </w:rPr>
                      </w:pPr>
                      <w:r>
                        <w:rPr>
                          <w:highlight w:val="yellow"/>
                          <w:lang w:eastAsia="sv-SE"/>
                        </w:rPr>
                        <w:t>ACLR – this is being discussed for conducted, the same principle will be used for radiated although FR2 values will be different and can be further discussed once the principles are agreed (for conducted)</w:t>
                      </w:r>
                    </w:p>
                  </w:txbxContent>
                </v:textbox>
                <w10:wrap type="topAndBottom"/>
              </v:shape>
            </w:pict>
          </mc:Fallback>
        </mc:AlternateContent>
      </w:r>
      <w:r w:rsidR="004E1DB4">
        <w:rPr>
          <w:lang w:val="en-US"/>
        </w:rPr>
        <w:t>In the Way Forward document [1] from RAN</w:t>
      </w:r>
      <w:r w:rsidR="00097CC6">
        <w:rPr>
          <w:lang w:val="en-US"/>
        </w:rPr>
        <w:t>4#</w:t>
      </w:r>
      <w:r w:rsidR="00CB5227">
        <w:rPr>
          <w:lang w:val="en-US"/>
        </w:rPr>
        <w:t>100</w:t>
      </w:r>
      <w:r>
        <w:rPr>
          <w:lang w:val="en-US"/>
        </w:rPr>
        <w:t>-</w:t>
      </w:r>
      <w:r w:rsidR="00097CC6">
        <w:rPr>
          <w:lang w:val="en-US"/>
        </w:rPr>
        <w:t xml:space="preserve">e following </w:t>
      </w:r>
      <w:r>
        <w:rPr>
          <w:lang w:val="en-US"/>
        </w:rPr>
        <w:t>was agreed for FR</w:t>
      </w:r>
      <w:r w:rsidR="00E939D2">
        <w:rPr>
          <w:lang w:val="en-US"/>
        </w:rPr>
        <w:t>1</w:t>
      </w:r>
      <w:r>
        <w:rPr>
          <w:lang w:val="en-US"/>
        </w:rPr>
        <w:t>:</w:t>
      </w:r>
    </w:p>
    <w:p w14:paraId="66DBE5DF" w14:textId="55770093" w:rsidR="00097CC6" w:rsidRDefault="00CB5227" w:rsidP="00904C26">
      <w:pPr>
        <w:tabs>
          <w:tab w:val="left" w:pos="7935"/>
        </w:tabs>
        <w:rPr>
          <w:lang w:val="en-US"/>
        </w:rPr>
      </w:pPr>
      <w:r>
        <w:rPr>
          <w:lang w:val="en-US"/>
        </w:rPr>
        <w:t>Building on top of these and earlier agreements, i</w:t>
      </w:r>
      <w:r w:rsidR="00097CC6">
        <w:rPr>
          <w:lang w:val="en-US"/>
        </w:rPr>
        <w:t xml:space="preserve">n this contribution we </w:t>
      </w:r>
      <w:r w:rsidR="007E161C">
        <w:rPr>
          <w:lang w:val="en-US"/>
        </w:rPr>
        <w:t xml:space="preserve">further </w:t>
      </w:r>
      <w:r w:rsidR="00097CC6">
        <w:rPr>
          <w:lang w:val="en-US"/>
        </w:rPr>
        <w:t>elaborate</w:t>
      </w:r>
      <w:r w:rsidR="00080DA2">
        <w:rPr>
          <w:lang w:val="en-US"/>
        </w:rPr>
        <w:t xml:space="preserve"> on how unwanted emissions would be reasonable to specify for NR repeaters</w:t>
      </w:r>
      <w:r w:rsidR="00280A0F">
        <w:rPr>
          <w:lang w:val="en-US"/>
        </w:rPr>
        <w:t xml:space="preserve"> in FR2</w:t>
      </w:r>
      <w:r w:rsidR="00097CC6">
        <w:rPr>
          <w:lang w:val="en-US"/>
        </w:rPr>
        <w:t xml:space="preserve">. </w:t>
      </w:r>
    </w:p>
    <w:p w14:paraId="50FA4BC1" w14:textId="7C09036B" w:rsidR="00187269" w:rsidRPr="000B2525" w:rsidRDefault="002B29CD" w:rsidP="000B2525">
      <w:pPr>
        <w:pStyle w:val="Heading1"/>
        <w:numPr>
          <w:ilvl w:val="0"/>
          <w:numId w:val="19"/>
        </w:numPr>
        <w:rPr>
          <w:lang w:val="en-US"/>
        </w:rPr>
      </w:pPr>
      <w:r>
        <w:rPr>
          <w:lang w:val="en-US"/>
        </w:rPr>
        <w:t>Discussion</w:t>
      </w:r>
    </w:p>
    <w:p w14:paraId="75088C4F" w14:textId="155018AA" w:rsidR="001776CD" w:rsidRPr="001776CD" w:rsidRDefault="001776CD" w:rsidP="001776CD">
      <w:pPr>
        <w:tabs>
          <w:tab w:val="left" w:pos="7935"/>
        </w:tabs>
        <w:rPr>
          <w:rFonts w:eastAsia="Batang"/>
          <w:lang w:eastAsia="ko-KR"/>
        </w:rPr>
      </w:pPr>
      <w:r w:rsidRPr="001776CD">
        <w:rPr>
          <w:rFonts w:eastAsia="Batang"/>
          <w:lang w:eastAsia="ko-KR"/>
        </w:rPr>
        <w:t xml:space="preserve">Adjacent Channel Leakage power Ratio (ACLR) is the ratio of the filtered mean power centred on the assigned channel frequency to the filtered mean power centred on an adjacent channel frequency. Thus, as discussed in </w:t>
      </w:r>
      <w:r w:rsidRPr="001776CD">
        <w:rPr>
          <w:rFonts w:eastAsia="Batang"/>
          <w:lang w:eastAsia="ko-KR"/>
        </w:rPr>
        <w:fldChar w:fldCharType="begin"/>
      </w:r>
      <w:r w:rsidRPr="001776CD">
        <w:rPr>
          <w:rFonts w:eastAsia="Batang"/>
          <w:lang w:eastAsia="ko-KR"/>
        </w:rPr>
        <w:instrText xml:space="preserve"> REF _Ref67692346 \r \h </w:instrText>
      </w:r>
      <w:r w:rsidRPr="001776CD">
        <w:rPr>
          <w:rFonts w:eastAsia="Batang"/>
          <w:lang w:eastAsia="ko-KR"/>
        </w:rPr>
      </w:r>
      <w:r w:rsidRPr="001776CD">
        <w:rPr>
          <w:rFonts w:eastAsia="Batang"/>
          <w:lang w:eastAsia="ko-KR"/>
        </w:rPr>
        <w:fldChar w:fldCharType="separate"/>
      </w:r>
      <w:r w:rsidRPr="001776CD">
        <w:rPr>
          <w:rFonts w:eastAsia="Batang"/>
          <w:lang w:eastAsia="ko-KR"/>
        </w:rPr>
        <w:t>[</w:t>
      </w:r>
      <w:r>
        <w:rPr>
          <w:rFonts w:eastAsia="Batang"/>
          <w:lang w:eastAsia="ko-KR"/>
        </w:rPr>
        <w:t>2</w:t>
      </w:r>
      <w:r w:rsidRPr="001776CD">
        <w:rPr>
          <w:rFonts w:eastAsia="Batang"/>
          <w:lang w:eastAsia="ko-KR"/>
        </w:rPr>
        <w:t>]</w:t>
      </w:r>
      <w:r w:rsidRPr="001776CD">
        <w:rPr>
          <w:rFonts w:eastAsia="Batang"/>
          <w:lang w:eastAsia="ko-KR"/>
        </w:rPr>
        <w:fldChar w:fldCharType="end"/>
      </w:r>
      <w:r w:rsidRPr="001776CD">
        <w:rPr>
          <w:rFonts w:eastAsia="Batang"/>
          <w:lang w:eastAsia="ko-KR"/>
        </w:rPr>
        <w:t xml:space="preserve"> if the signal power is lower, for example if the signal power is in the scale of noise power, then the ACLR cannot be measured</w:t>
      </w:r>
      <w:r w:rsidR="006F0CD0">
        <w:rPr>
          <w:rFonts w:eastAsia="Batang"/>
          <w:lang w:eastAsia="ko-KR"/>
        </w:rPr>
        <w:t>.</w:t>
      </w:r>
    </w:p>
    <w:p w14:paraId="63FBBB71" w14:textId="29644E7D" w:rsidR="001776CD" w:rsidRDefault="001776CD" w:rsidP="001776CD">
      <w:pPr>
        <w:tabs>
          <w:tab w:val="left" w:pos="7935"/>
        </w:tabs>
        <w:rPr>
          <w:rFonts w:eastAsia="Batang"/>
          <w:lang w:eastAsia="ko-KR"/>
        </w:rPr>
      </w:pPr>
      <w:r w:rsidRPr="001776CD">
        <w:rPr>
          <w:rFonts w:eastAsia="Batang"/>
          <w:lang w:eastAsia="ko-KR"/>
        </w:rPr>
        <w:t xml:space="preserve">The operating band unwanted emission (OBUE) is defined as the maximum power that the transmitter (e.g., BS or IAB) can transmit within a predefined bandwidth that ranges within a certain offset from the centre frequency. </w:t>
      </w:r>
    </w:p>
    <w:p w14:paraId="4FCAC792" w14:textId="35254EC0" w:rsidR="000B2525" w:rsidRPr="001776CD" w:rsidRDefault="000B2525" w:rsidP="001776CD">
      <w:pPr>
        <w:tabs>
          <w:tab w:val="left" w:pos="7935"/>
        </w:tabs>
        <w:rPr>
          <w:rFonts w:eastAsia="Batang"/>
          <w:lang w:eastAsia="ko-KR"/>
        </w:rPr>
      </w:pPr>
      <w:r>
        <w:rPr>
          <w:rFonts w:eastAsia="Batang"/>
          <w:lang w:eastAsia="ko-KR"/>
        </w:rPr>
        <w:t xml:space="preserve">As ACLR measurement bandwidth is the full adjacent channel, ACLR requirement </w:t>
      </w:r>
      <w:r w:rsidR="00D37E88">
        <w:rPr>
          <w:rFonts w:eastAsia="Batang"/>
          <w:lang w:eastAsia="ko-KR"/>
        </w:rPr>
        <w:t>does not care about the spectrum shape. OBUE measurement bandwidth is traditionally 1 MHz or less, and therefore OBUE limits the maximum level of narrowband peaks in the spectrum.</w:t>
      </w:r>
      <w:r w:rsidR="00CF0272" w:rsidRPr="00CF0272">
        <w:rPr>
          <w:rFonts w:eastAsia="Batang"/>
          <w:lang w:eastAsia="ko-KR"/>
        </w:rPr>
        <w:t xml:space="preserve"> </w:t>
      </w:r>
      <w:r w:rsidR="00CF0272">
        <w:rPr>
          <w:rFonts w:eastAsia="Batang"/>
          <w:lang w:eastAsia="ko-KR"/>
        </w:rPr>
        <w:t xml:space="preserve">Therefore ACLR and OBUE requirements are complementary </w:t>
      </w:r>
      <w:r w:rsidR="00631CA8">
        <w:rPr>
          <w:rFonts w:eastAsia="Batang"/>
          <w:lang w:eastAsia="ko-KR"/>
        </w:rPr>
        <w:t xml:space="preserve">working together to </w:t>
      </w:r>
      <w:r w:rsidR="00CF0272">
        <w:rPr>
          <w:rFonts w:eastAsia="Batang"/>
          <w:lang w:eastAsia="ko-KR"/>
        </w:rPr>
        <w:t>limit different kinds of emissions.</w:t>
      </w:r>
    </w:p>
    <w:p w14:paraId="4B52CAEC" w14:textId="1635AA89" w:rsidR="001776CD" w:rsidRPr="001776CD" w:rsidRDefault="001776CD" w:rsidP="001776CD">
      <w:pPr>
        <w:tabs>
          <w:tab w:val="left" w:pos="7935"/>
        </w:tabs>
        <w:rPr>
          <w:rFonts w:eastAsia="Batang"/>
          <w:lang w:eastAsia="ko-KR"/>
        </w:rPr>
      </w:pPr>
      <w:r w:rsidRPr="001776CD">
        <w:rPr>
          <w:rFonts w:eastAsia="Batang"/>
          <w:lang w:eastAsia="ko-KR"/>
        </w:rPr>
        <w:t xml:space="preserve">Based on the above definitions, it is worth noting that the ACLR is defined relative to the desired signal power level, and hence, if the desired power level is low it is not possible to obtain a meaningful ACLR level as instead of emissions the amplified thermal noise will be measured. On the other hand, OBUE defines a maximum threshold or an upper bound to limit the unwanted transmissions in the adjacent </w:t>
      </w:r>
      <w:r w:rsidR="00B42B6D" w:rsidRPr="001776CD">
        <w:rPr>
          <w:rFonts w:eastAsia="Batang"/>
          <w:lang w:eastAsia="ko-KR"/>
        </w:rPr>
        <w:t>bands and</w:t>
      </w:r>
      <w:r w:rsidRPr="001776CD">
        <w:rPr>
          <w:rFonts w:eastAsia="Batang"/>
          <w:lang w:eastAsia="ko-KR"/>
        </w:rPr>
        <w:t xml:space="preserve"> does not depend on the desired signal power</w:t>
      </w:r>
      <w:r w:rsidR="006C42BE">
        <w:rPr>
          <w:rFonts w:eastAsia="Batang"/>
          <w:lang w:eastAsia="ko-KR"/>
        </w:rPr>
        <w:t xml:space="preserve"> </w:t>
      </w:r>
      <w:r w:rsidRPr="001776CD">
        <w:rPr>
          <w:rFonts w:eastAsia="Batang"/>
          <w:lang w:eastAsia="ko-KR"/>
        </w:rPr>
        <w:t xml:space="preserve">levels. In case of repeaters, it is </w:t>
      </w:r>
      <w:r w:rsidR="00B363C3">
        <w:rPr>
          <w:rFonts w:eastAsia="Batang"/>
          <w:lang w:eastAsia="ko-KR"/>
        </w:rPr>
        <w:t xml:space="preserve">not always </w:t>
      </w:r>
      <w:r w:rsidRPr="001776CD">
        <w:rPr>
          <w:rFonts w:eastAsia="Batang"/>
          <w:lang w:eastAsia="ko-KR"/>
        </w:rPr>
        <w:t xml:space="preserve">meaningful to use a parameter which is dependent </w:t>
      </w:r>
      <w:r w:rsidR="00B363C3">
        <w:rPr>
          <w:rFonts w:eastAsia="Batang"/>
          <w:lang w:eastAsia="ko-KR"/>
        </w:rPr>
        <w:t>on</w:t>
      </w:r>
      <w:r w:rsidRPr="001776CD">
        <w:rPr>
          <w:rFonts w:eastAsia="Batang"/>
          <w:lang w:eastAsia="ko-KR"/>
        </w:rPr>
        <w:t xml:space="preserve"> the</w:t>
      </w:r>
      <w:r w:rsidR="00B42B6D">
        <w:rPr>
          <w:rFonts w:eastAsia="Batang"/>
          <w:lang w:eastAsia="ko-KR"/>
        </w:rPr>
        <w:t xml:space="preserve"> </w:t>
      </w:r>
      <w:r w:rsidRPr="001776CD">
        <w:rPr>
          <w:rFonts w:eastAsia="Batang"/>
          <w:lang w:eastAsia="ko-KR"/>
        </w:rPr>
        <w:t xml:space="preserve">wanted signal power level to measure the unwanted emissions in the adjacent bands. Instead of ACLR, the OBUE can be used as it is simply a threshold, which is independent and act as an upper bound to limit the emissions.  </w:t>
      </w:r>
    </w:p>
    <w:p w14:paraId="423F96A7" w14:textId="203C27D0" w:rsidR="001776CD" w:rsidRPr="00210BD3" w:rsidRDefault="001776CD" w:rsidP="149115FE">
      <w:pPr>
        <w:tabs>
          <w:tab w:val="left" w:pos="7935"/>
        </w:tabs>
        <w:rPr>
          <w:b/>
          <w:bCs/>
        </w:rPr>
      </w:pPr>
      <w:bookmarkStart w:id="1" w:name="_Ref67750587"/>
      <w:r w:rsidRPr="00210BD3">
        <w:rPr>
          <w:b/>
          <w:bCs/>
        </w:rPr>
        <w:lastRenderedPageBreak/>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rPr>
        <w:t>1</w:t>
      </w:r>
      <w:r w:rsidRPr="00210BD3">
        <w:rPr>
          <w:b/>
          <w:bCs/>
        </w:rPr>
        <w:fldChar w:fldCharType="end"/>
      </w:r>
      <w:r w:rsidRPr="00210BD3">
        <w:rPr>
          <w:b/>
          <w:bCs/>
        </w:rPr>
        <w:t xml:space="preserve">: As </w:t>
      </w:r>
      <w:r w:rsidR="00C61D28" w:rsidRPr="00210BD3">
        <w:rPr>
          <w:b/>
          <w:bCs/>
        </w:rPr>
        <w:t xml:space="preserve">relative </w:t>
      </w:r>
      <w:r w:rsidRPr="00210BD3">
        <w:rPr>
          <w:b/>
          <w:bCs/>
        </w:rPr>
        <w:t>ACLR depends on the desired signal power, it may not be measurable if the desired signal power is very</w:t>
      </w:r>
      <w:r w:rsidR="79F97557" w:rsidRPr="00210BD3">
        <w:rPr>
          <w:b/>
          <w:bCs/>
        </w:rPr>
        <w:t xml:space="preserve"> low</w:t>
      </w:r>
      <w:r w:rsidRPr="00210BD3">
        <w:rPr>
          <w:b/>
          <w:bCs/>
        </w:rPr>
        <w:t xml:space="preserve"> or if it is in the scale of noise power level.</w:t>
      </w:r>
      <w:bookmarkEnd w:id="1"/>
      <w:r w:rsidRPr="00210BD3">
        <w:rPr>
          <w:b/>
          <w:bCs/>
        </w:rPr>
        <w:t xml:space="preserve"> </w:t>
      </w:r>
      <w:r w:rsidR="008A263D">
        <w:rPr>
          <w:b/>
          <w:bCs/>
        </w:rPr>
        <w:t>This needs to be considered in performance part of the work.</w:t>
      </w:r>
    </w:p>
    <w:p w14:paraId="1C83531F" w14:textId="1FAFA1A0" w:rsidR="001776CD" w:rsidRPr="00210BD3" w:rsidRDefault="001776CD" w:rsidP="001776CD">
      <w:pPr>
        <w:tabs>
          <w:tab w:val="left" w:pos="7935"/>
        </w:tabs>
        <w:rPr>
          <w:b/>
          <w:bCs/>
        </w:rPr>
      </w:pPr>
      <w:bookmarkStart w:id="2" w:name="_Ref67750598"/>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noProof/>
        </w:rPr>
        <w:t>2</w:t>
      </w:r>
      <w:r w:rsidRPr="00210BD3">
        <w:rPr>
          <w:b/>
          <w:bCs/>
        </w:rPr>
        <w:fldChar w:fldCharType="end"/>
      </w:r>
      <w:r w:rsidRPr="00210BD3">
        <w:rPr>
          <w:b/>
          <w:bCs/>
        </w:rPr>
        <w:t>: OBUE is an upper bound, which is independent on the signal power level, defined to limit the unwanted emissions in the adjacent bands.</w:t>
      </w:r>
      <w:bookmarkEnd w:id="2"/>
      <w:r w:rsidRPr="00210BD3">
        <w:rPr>
          <w:b/>
          <w:bCs/>
        </w:rPr>
        <w:t xml:space="preserve"> </w:t>
      </w:r>
    </w:p>
    <w:p w14:paraId="5B46DFF2" w14:textId="74FA0B3C" w:rsidR="00B42B6D" w:rsidRPr="001776CD" w:rsidRDefault="00B42B6D" w:rsidP="001776CD">
      <w:pPr>
        <w:tabs>
          <w:tab w:val="left" w:pos="7935"/>
        </w:tabs>
        <w:rPr>
          <w:rFonts w:eastAsia="Batang"/>
          <w:lang w:eastAsia="ko-KR"/>
        </w:rPr>
      </w:pPr>
      <w:r>
        <w:rPr>
          <w:lang w:val="en-US" w:eastAsia="zh-CN"/>
        </w:rPr>
        <w:t>On the other hand, for lower output power</w:t>
      </w:r>
      <w:r w:rsidR="00BA7C95">
        <w:rPr>
          <w:lang w:val="en-US" w:eastAsia="zh-CN"/>
        </w:rPr>
        <w:t xml:space="preserve"> especially in uplink direction</w:t>
      </w:r>
      <w:r>
        <w:rPr>
          <w:lang w:val="en-US" w:eastAsia="zh-CN"/>
        </w:rPr>
        <w:t>, although spectrum mask and spurious emission can be met, ACLR is still required to make sure neighboring channel is not disturbed.  For beam forming with large number of antenna elements, the coupling between antennas could be a problem causing intermodulation between power amplifiers, which will results in worse ACLR. Therefore, we see that ACLR is necessary to specify. However, it should be further discussed in performance part whether it can be verified.</w:t>
      </w:r>
    </w:p>
    <w:bookmarkStart w:id="3" w:name="_Ref67778034"/>
    <w:p w14:paraId="48EEDB90" w14:textId="58AF4DCB" w:rsidR="001776CD" w:rsidRPr="001776CD" w:rsidRDefault="001776CD" w:rsidP="001776CD">
      <w:pPr>
        <w:tabs>
          <w:tab w:val="left" w:pos="7935"/>
        </w:tabs>
        <w:rPr>
          <w:rFonts w:eastAsia="Batang"/>
          <w:lang w:eastAsia="ko-KR"/>
        </w:rPr>
      </w:pPr>
      <w:r w:rsidRPr="001776CD">
        <w:rPr>
          <w:b/>
          <w:bCs/>
          <w:i/>
          <w:iCs/>
        </w:rPr>
        <w:fldChar w:fldCharType="begin"/>
      </w:r>
      <w:r w:rsidRPr="001776CD">
        <w:rPr>
          <w:b/>
          <w:bCs/>
          <w:i/>
          <w:iCs/>
        </w:rPr>
        <w:instrText xml:space="preserve"> SEQ Observation \* ARABIC </w:instrText>
      </w:r>
      <w:r w:rsidRPr="001776CD">
        <w:rPr>
          <w:b/>
          <w:bCs/>
          <w:i/>
          <w:iCs/>
        </w:rPr>
        <w:fldChar w:fldCharType="end"/>
      </w:r>
      <w:bookmarkEnd w:id="3"/>
      <w:r w:rsidRPr="001776CD">
        <w:rPr>
          <w:rFonts w:eastAsia="Batang"/>
          <w:lang w:eastAsia="ko-KR"/>
        </w:rPr>
        <w:t>For BS or IAB operating in non</w:t>
      </w:r>
      <w:r w:rsidR="006C42BE">
        <w:rPr>
          <w:rFonts w:eastAsia="Batang"/>
          <w:lang w:eastAsia="ko-KR"/>
        </w:rPr>
        <w:t>-</w:t>
      </w:r>
      <w:r w:rsidRPr="001776CD">
        <w:rPr>
          <w:rFonts w:eastAsia="Batang"/>
          <w:lang w:eastAsia="ko-KR"/>
        </w:rPr>
        <w:t>contiguous spectrum, cumulative ACLR (CACLR) is used to measure unwanted emissions in the adjacent bands and aligned with earlier observation it will not be a suitable metric either.</w:t>
      </w:r>
      <w:r w:rsidR="009A7258">
        <w:rPr>
          <w:rFonts w:eastAsia="Batang"/>
          <w:lang w:eastAsia="ko-KR"/>
        </w:rPr>
        <w:t xml:space="preserve"> CACLR and ACLR requirements should follow the same principles</w:t>
      </w:r>
      <w:r w:rsidR="000B2525">
        <w:rPr>
          <w:rFonts w:eastAsia="Batang"/>
          <w:lang w:eastAsia="ko-KR"/>
        </w:rPr>
        <w:t>.</w:t>
      </w:r>
    </w:p>
    <w:p w14:paraId="0E6A0566" w14:textId="1409ECDD" w:rsidR="001776CD" w:rsidRPr="00210BD3" w:rsidRDefault="001776CD" w:rsidP="001776CD">
      <w:pPr>
        <w:tabs>
          <w:tab w:val="left" w:pos="7935"/>
        </w:tabs>
        <w:rPr>
          <w:rFonts w:eastAsia="Batang"/>
          <w:lang w:eastAsia="ko-KR"/>
        </w:rPr>
      </w:pPr>
      <w:bookmarkStart w:id="4" w:name="_Hlk67834416"/>
      <w:bookmarkStart w:id="5" w:name="_Ref67779674"/>
      <w:r w:rsidRPr="086BE877">
        <w:rPr>
          <w:b/>
          <w:bCs/>
        </w:rPr>
        <w:t xml:space="preserve">Observation 3: </w:t>
      </w:r>
      <w:bookmarkEnd w:id="4"/>
      <w:bookmarkEnd w:id="5"/>
      <w:r w:rsidR="000B2525" w:rsidRPr="086BE877">
        <w:rPr>
          <w:b/>
          <w:bCs/>
        </w:rPr>
        <w:t>Same principles in setting the requirement can be applied for ACLR and CACLR.</w:t>
      </w:r>
      <w:r w:rsidRPr="086BE877">
        <w:rPr>
          <w:b/>
          <w:bCs/>
        </w:rPr>
        <w:t xml:space="preserve"> </w:t>
      </w:r>
    </w:p>
    <w:p w14:paraId="1A46EF54" w14:textId="547CBBE4" w:rsidR="033BF7E3" w:rsidRDefault="033BF7E3" w:rsidP="086BE877">
      <w:pPr>
        <w:pStyle w:val="ListParagraph"/>
        <w:tabs>
          <w:tab w:val="left" w:pos="7935"/>
        </w:tabs>
        <w:ind w:left="0"/>
      </w:pPr>
      <w:r>
        <w:t xml:space="preserve">Furthermore, we think that the baseline of the emission levels should be set based on gNB emission levels, </w:t>
      </w:r>
      <w:proofErr w:type="gramStart"/>
      <w:r>
        <w:t>i.e.</w:t>
      </w:r>
      <w:proofErr w:type="gramEnd"/>
      <w:r>
        <w:t xml:space="preserve"> </w:t>
      </w:r>
      <w:r w:rsidR="00280A0F">
        <w:t>28</w:t>
      </w:r>
      <w:r>
        <w:t xml:space="preserve"> </w:t>
      </w:r>
      <w:proofErr w:type="spellStart"/>
      <w:r>
        <w:t>dBc</w:t>
      </w:r>
      <w:proofErr w:type="spellEnd"/>
      <w:r>
        <w:t xml:space="preserve"> ACLR, and the limit should be the same both for UL and DL transmissions. This will mean the in UL the limit will be more stringent than UE limit, but on the other hand also expected maximum repeater output power is higher than maximum power class 3 UE transmission power. In case UL output power is limited to UE output power, UE requirements can apply, however in this comparison also antenna gains should be considered..</w:t>
      </w:r>
    </w:p>
    <w:p w14:paraId="71C7547B" w14:textId="4B7A3E51" w:rsidR="46ABA1B3" w:rsidRDefault="46ABA1B3" w:rsidP="086BE877">
      <w:pPr>
        <w:tabs>
          <w:tab w:val="left" w:pos="7935"/>
        </w:tabs>
        <w:rPr>
          <w:b/>
          <w:bCs/>
        </w:rPr>
      </w:pPr>
      <w:r w:rsidRPr="086BE877">
        <w:rPr>
          <w:b/>
          <w:bCs/>
        </w:rPr>
        <w:t xml:space="preserve">Proposal </w:t>
      </w:r>
      <w:r w:rsidR="002722CA">
        <w:rPr>
          <w:b/>
          <w:bCs/>
        </w:rPr>
        <w:t>1</w:t>
      </w:r>
      <w:r w:rsidRPr="086BE877">
        <w:rPr>
          <w:b/>
          <w:bCs/>
        </w:rPr>
        <w:t>: Adopt BS OBUE and ACLR requirements</w:t>
      </w:r>
      <w:r w:rsidR="002722CA">
        <w:rPr>
          <w:b/>
          <w:bCs/>
        </w:rPr>
        <w:t xml:space="preserve"> outside passband</w:t>
      </w:r>
      <w:r w:rsidRPr="086BE877">
        <w:rPr>
          <w:b/>
          <w:bCs/>
        </w:rPr>
        <w:t xml:space="preserve"> for DL operation to guarantee similar co-existence towards other operators as BS.</w:t>
      </w:r>
    </w:p>
    <w:p w14:paraId="0674AC48" w14:textId="6C712545" w:rsidR="033BF7E3" w:rsidRDefault="033BF7E3" w:rsidP="086BE877">
      <w:pPr>
        <w:pStyle w:val="ListParagraph"/>
        <w:tabs>
          <w:tab w:val="left" w:pos="7935"/>
        </w:tabs>
        <w:ind w:left="0"/>
        <w:rPr>
          <w:b/>
          <w:bCs/>
        </w:rPr>
      </w:pPr>
      <w:r w:rsidRPr="086BE877">
        <w:rPr>
          <w:b/>
          <w:bCs/>
        </w:rPr>
        <w:t xml:space="preserve">Proposal </w:t>
      </w:r>
      <w:r w:rsidR="002722CA">
        <w:rPr>
          <w:b/>
          <w:bCs/>
        </w:rPr>
        <w:t>2</w:t>
      </w:r>
      <w:r w:rsidRPr="086BE877">
        <w:rPr>
          <w:b/>
          <w:bCs/>
        </w:rPr>
        <w:t>: In case UL output power is higher than UE output power, UL ACLR needs to align with DL ACLR. Antenna gain should be taken into account in the comparison.</w:t>
      </w:r>
    </w:p>
    <w:p w14:paraId="447DC499" w14:textId="30CC0F80" w:rsidR="086BE877" w:rsidRDefault="086BE877" w:rsidP="086BE877">
      <w:pPr>
        <w:pStyle w:val="ListParagraph"/>
        <w:tabs>
          <w:tab w:val="left" w:pos="7935"/>
        </w:tabs>
        <w:ind w:left="0"/>
        <w:rPr>
          <w:b/>
          <w:bCs/>
        </w:rPr>
      </w:pPr>
    </w:p>
    <w:p w14:paraId="26C14F14" w14:textId="0A20EB33" w:rsidR="2CE4777C" w:rsidRDefault="2CE4777C" w:rsidP="086BE877">
      <w:pPr>
        <w:pStyle w:val="ListParagraph"/>
        <w:tabs>
          <w:tab w:val="left" w:pos="7935"/>
        </w:tabs>
        <w:ind w:left="0"/>
      </w:pPr>
      <w:r>
        <w:t>In previous meeting one contentious point was whether ACLR is defined only outside passband. Given th</w:t>
      </w:r>
      <w:r w:rsidR="2702133A">
        <w:t>e baseline assumption that within the passband all signals belong to same or collaborating operators, relaxing emission requirements within passband would impact own system. Still, RAN4 should also guarantee sufficient system perfor</w:t>
      </w:r>
      <w:r w:rsidR="6E315930">
        <w:t xml:space="preserve">mance also for own system. It can be considered that </w:t>
      </w:r>
      <w:r w:rsidR="0F6318BA">
        <w:t>EVM requirements cover part of that, but removing all emission requirements</w:t>
      </w:r>
      <w:r w:rsidR="546E944F">
        <w:t xml:space="preserve"> might be too risky. Good starting point for discussion would be to keep at least OBUE requirements also within passband.</w:t>
      </w:r>
      <w:r w:rsidR="002722CA">
        <w:t xml:space="preserve"> This would set an absolute limit for emissions within passband, while relaxing the requirement compared to relative ACLR.</w:t>
      </w:r>
    </w:p>
    <w:p w14:paraId="2DF6C89D" w14:textId="1E0CA5E9" w:rsidR="086BE877" w:rsidRDefault="086BE877" w:rsidP="086BE877">
      <w:pPr>
        <w:pStyle w:val="ListParagraph"/>
        <w:tabs>
          <w:tab w:val="left" w:pos="7935"/>
        </w:tabs>
        <w:ind w:left="0"/>
      </w:pPr>
    </w:p>
    <w:p w14:paraId="4BAB9FF6" w14:textId="30E5195A" w:rsidR="0F6318BA" w:rsidRDefault="0F6318BA" w:rsidP="086BE877">
      <w:pPr>
        <w:pStyle w:val="ListParagraph"/>
        <w:tabs>
          <w:tab w:val="left" w:pos="7935"/>
        </w:tabs>
        <w:ind w:left="0"/>
      </w:pPr>
      <w:r w:rsidRPr="086BE877">
        <w:rPr>
          <w:b/>
          <w:bCs/>
        </w:rPr>
        <w:t xml:space="preserve">Proposal </w:t>
      </w:r>
      <w:r w:rsidR="002722CA">
        <w:rPr>
          <w:b/>
          <w:bCs/>
        </w:rPr>
        <w:t>3</w:t>
      </w:r>
      <w:r w:rsidRPr="086BE877">
        <w:rPr>
          <w:b/>
          <w:bCs/>
        </w:rPr>
        <w:t>: At least OBUE requirements are specified inside passband.</w:t>
      </w:r>
      <w:r w:rsidR="6E315930">
        <w:t xml:space="preserve"> </w:t>
      </w:r>
    </w:p>
    <w:p w14:paraId="5753631C" w14:textId="77777777" w:rsidR="00710AB4" w:rsidRDefault="00710AB4" w:rsidP="086BE877">
      <w:pPr>
        <w:pStyle w:val="ListParagraph"/>
        <w:tabs>
          <w:tab w:val="left" w:pos="7935"/>
        </w:tabs>
        <w:ind w:left="0"/>
      </w:pPr>
    </w:p>
    <w:p w14:paraId="769553EE" w14:textId="0A9DE245" w:rsidR="005B3D5E" w:rsidRDefault="00C713E6" w:rsidP="086BE877">
      <w:pPr>
        <w:pStyle w:val="ListParagraph"/>
        <w:tabs>
          <w:tab w:val="left" w:pos="7935"/>
        </w:tabs>
        <w:ind w:left="0"/>
      </w:pPr>
      <w:r>
        <w:t xml:space="preserve">As repeater is a network node designed to support specific </w:t>
      </w:r>
      <w:r w:rsidR="00D97A72">
        <w:t xml:space="preserve">frequency range, it generally is reasonable to use OBUE </w:t>
      </w:r>
      <w:r w:rsidR="0075361B">
        <w:t xml:space="preserve">approach for UL emissions </w:t>
      </w:r>
      <w:r w:rsidR="00B22145">
        <w:t xml:space="preserve">instead of the carrier centric approach used in UE specifications. </w:t>
      </w:r>
    </w:p>
    <w:p w14:paraId="676A5D67" w14:textId="77777777" w:rsidR="005B3D5E" w:rsidRDefault="005B3D5E" w:rsidP="086BE877">
      <w:pPr>
        <w:pStyle w:val="ListParagraph"/>
        <w:tabs>
          <w:tab w:val="left" w:pos="7935"/>
        </w:tabs>
        <w:ind w:left="0"/>
      </w:pPr>
    </w:p>
    <w:p w14:paraId="32903207" w14:textId="11C9080D" w:rsidR="00BE1FF0" w:rsidRDefault="00350BA6" w:rsidP="086BE877">
      <w:pPr>
        <w:pStyle w:val="ListParagraph"/>
        <w:tabs>
          <w:tab w:val="left" w:pos="7935"/>
        </w:tabs>
        <w:ind w:left="0"/>
        <w:rPr>
          <w:b/>
          <w:bCs/>
        </w:rPr>
      </w:pPr>
      <w:r w:rsidRPr="00350BA6">
        <w:rPr>
          <w:b/>
          <w:bCs/>
        </w:rPr>
        <w:t>Proposal 4:</w:t>
      </w:r>
      <w:r>
        <w:rPr>
          <w:b/>
          <w:bCs/>
        </w:rPr>
        <w:t xml:space="preserve"> </w:t>
      </w:r>
      <w:r w:rsidR="00BE1FF0">
        <w:rPr>
          <w:b/>
          <w:bCs/>
        </w:rPr>
        <w:t xml:space="preserve">OBUE requirements are defined for UL. </w:t>
      </w:r>
    </w:p>
    <w:p w14:paraId="660DB402" w14:textId="40C59871" w:rsidR="002B29CD" w:rsidRPr="002B29CD" w:rsidRDefault="002B29CD" w:rsidP="002B29CD">
      <w:pPr>
        <w:pStyle w:val="Heading1"/>
        <w:numPr>
          <w:ilvl w:val="0"/>
          <w:numId w:val="19"/>
        </w:numPr>
        <w:rPr>
          <w:lang w:val="en-US"/>
        </w:rPr>
      </w:pPr>
      <w:r w:rsidRPr="086BE877">
        <w:rPr>
          <w:lang w:val="en-US"/>
        </w:rPr>
        <w:t>Conclusion</w:t>
      </w:r>
    </w:p>
    <w:p w14:paraId="0C36A442" w14:textId="77E4DA09" w:rsidR="536D6069" w:rsidRDefault="536D6069" w:rsidP="086BE877">
      <w:pPr>
        <w:rPr>
          <w:lang w:val="en-US"/>
        </w:rPr>
      </w:pPr>
      <w:r w:rsidRPr="086BE877">
        <w:rPr>
          <w:lang w:val="en-US"/>
        </w:rPr>
        <w:t>In this contribution conducted repeater emission requirements were discussed and following observations proposals were made:</w:t>
      </w:r>
    </w:p>
    <w:p w14:paraId="150C9BE3" w14:textId="77777777" w:rsidR="00280A0F" w:rsidRPr="00210BD3" w:rsidRDefault="00280A0F" w:rsidP="00280A0F">
      <w:pPr>
        <w:tabs>
          <w:tab w:val="left" w:pos="7935"/>
        </w:tabs>
        <w:rPr>
          <w:b/>
          <w:bCs/>
        </w:rPr>
      </w:pPr>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rPr>
        <w:t>1</w:t>
      </w:r>
      <w:r w:rsidRPr="00210BD3">
        <w:rPr>
          <w:b/>
          <w:bCs/>
        </w:rPr>
        <w:fldChar w:fldCharType="end"/>
      </w:r>
      <w:r w:rsidRPr="00210BD3">
        <w:rPr>
          <w:b/>
          <w:bCs/>
        </w:rPr>
        <w:t xml:space="preserve">: As relative ACLR depends on the desired signal power, it may not be measurable if the desired signal power is very low or if it is in the scale of noise power level. </w:t>
      </w:r>
      <w:r>
        <w:rPr>
          <w:b/>
          <w:bCs/>
        </w:rPr>
        <w:t>This needs to be considered in performance part of the work.</w:t>
      </w:r>
    </w:p>
    <w:p w14:paraId="1FC50EBC" w14:textId="77777777" w:rsidR="00280A0F" w:rsidRPr="00210BD3" w:rsidRDefault="00280A0F" w:rsidP="00280A0F">
      <w:pPr>
        <w:tabs>
          <w:tab w:val="left" w:pos="7935"/>
        </w:tabs>
        <w:rPr>
          <w:b/>
          <w:bCs/>
        </w:rPr>
      </w:pPr>
      <w:r w:rsidRPr="00210BD3">
        <w:rPr>
          <w:b/>
          <w:bCs/>
        </w:rPr>
        <w:t xml:space="preserve">Observation </w:t>
      </w:r>
      <w:r w:rsidRPr="00210BD3">
        <w:rPr>
          <w:b/>
          <w:bCs/>
        </w:rPr>
        <w:fldChar w:fldCharType="begin"/>
      </w:r>
      <w:r w:rsidRPr="00210BD3">
        <w:rPr>
          <w:b/>
          <w:bCs/>
        </w:rPr>
        <w:instrText xml:space="preserve"> SEQ Observation \* ARABIC </w:instrText>
      </w:r>
      <w:r w:rsidRPr="00210BD3">
        <w:rPr>
          <w:b/>
          <w:bCs/>
        </w:rPr>
        <w:fldChar w:fldCharType="separate"/>
      </w:r>
      <w:r w:rsidRPr="00210BD3">
        <w:rPr>
          <w:b/>
          <w:bCs/>
          <w:noProof/>
        </w:rPr>
        <w:t>2</w:t>
      </w:r>
      <w:r w:rsidRPr="00210BD3">
        <w:rPr>
          <w:b/>
          <w:bCs/>
        </w:rPr>
        <w:fldChar w:fldCharType="end"/>
      </w:r>
      <w:r w:rsidRPr="00210BD3">
        <w:rPr>
          <w:b/>
          <w:bCs/>
        </w:rPr>
        <w:t xml:space="preserve">: OBUE is an upper bound, which is independent on the signal power level, defined to limit the unwanted emissions in the adjacent bands. </w:t>
      </w:r>
    </w:p>
    <w:p w14:paraId="51759CAA" w14:textId="77777777" w:rsidR="00280A0F" w:rsidRPr="00210BD3" w:rsidRDefault="00280A0F" w:rsidP="00280A0F">
      <w:pPr>
        <w:tabs>
          <w:tab w:val="left" w:pos="7935"/>
        </w:tabs>
        <w:rPr>
          <w:rFonts w:eastAsia="Batang"/>
          <w:lang w:eastAsia="ko-KR"/>
        </w:rPr>
      </w:pPr>
      <w:r w:rsidRPr="086BE877">
        <w:rPr>
          <w:b/>
          <w:bCs/>
        </w:rPr>
        <w:t xml:space="preserve">Observation 3: Same principles in setting the requirement can be applied for ACLR and CACLR. </w:t>
      </w:r>
    </w:p>
    <w:p w14:paraId="2FAC0718" w14:textId="77777777" w:rsidR="00280A0F" w:rsidRDefault="00280A0F" w:rsidP="00280A0F">
      <w:pPr>
        <w:tabs>
          <w:tab w:val="left" w:pos="7935"/>
        </w:tabs>
        <w:rPr>
          <w:b/>
          <w:bCs/>
        </w:rPr>
      </w:pPr>
      <w:r w:rsidRPr="086BE877">
        <w:rPr>
          <w:b/>
          <w:bCs/>
        </w:rPr>
        <w:t xml:space="preserve">Proposal </w:t>
      </w:r>
      <w:r>
        <w:rPr>
          <w:b/>
          <w:bCs/>
        </w:rPr>
        <w:t>1</w:t>
      </w:r>
      <w:r w:rsidRPr="086BE877">
        <w:rPr>
          <w:b/>
          <w:bCs/>
        </w:rPr>
        <w:t>: Adopt BS OBUE and ACLR requirements</w:t>
      </w:r>
      <w:r>
        <w:rPr>
          <w:b/>
          <w:bCs/>
        </w:rPr>
        <w:t xml:space="preserve"> outside passband</w:t>
      </w:r>
      <w:r w:rsidRPr="086BE877">
        <w:rPr>
          <w:b/>
          <w:bCs/>
        </w:rPr>
        <w:t xml:space="preserve"> for DL operation to guarantee similar co-existence towards other operators as BS.</w:t>
      </w:r>
    </w:p>
    <w:p w14:paraId="7598FBFB" w14:textId="1BF55137" w:rsidR="00280A0F" w:rsidRDefault="00280A0F" w:rsidP="00280A0F">
      <w:pPr>
        <w:pStyle w:val="ListParagraph"/>
        <w:tabs>
          <w:tab w:val="left" w:pos="7935"/>
        </w:tabs>
        <w:ind w:left="0"/>
        <w:rPr>
          <w:b/>
          <w:bCs/>
        </w:rPr>
      </w:pPr>
      <w:r w:rsidRPr="086BE877">
        <w:rPr>
          <w:b/>
          <w:bCs/>
        </w:rPr>
        <w:lastRenderedPageBreak/>
        <w:t xml:space="preserve">Proposal </w:t>
      </w:r>
      <w:r>
        <w:rPr>
          <w:b/>
          <w:bCs/>
        </w:rPr>
        <w:t>2</w:t>
      </w:r>
      <w:r w:rsidRPr="086BE877">
        <w:rPr>
          <w:b/>
          <w:bCs/>
        </w:rPr>
        <w:t>: In case UL output power is higher than UE output power, UL ACLR needs to align with DL ACLR.</w:t>
      </w:r>
      <w:r>
        <w:rPr>
          <w:b/>
          <w:bCs/>
        </w:rPr>
        <w:t xml:space="preserve"> </w:t>
      </w:r>
      <w:r w:rsidRPr="086BE877">
        <w:rPr>
          <w:b/>
          <w:bCs/>
        </w:rPr>
        <w:t xml:space="preserve">Antenna gain should be </w:t>
      </w:r>
      <w:proofErr w:type="gramStart"/>
      <w:r w:rsidRPr="086BE877">
        <w:rPr>
          <w:b/>
          <w:bCs/>
        </w:rPr>
        <w:t>taken into account</w:t>
      </w:r>
      <w:proofErr w:type="gramEnd"/>
      <w:r w:rsidRPr="086BE877">
        <w:rPr>
          <w:b/>
          <w:bCs/>
        </w:rPr>
        <w:t xml:space="preserve"> in the comparison.</w:t>
      </w:r>
    </w:p>
    <w:p w14:paraId="13DF3302" w14:textId="77777777" w:rsidR="00280A0F" w:rsidRDefault="00280A0F" w:rsidP="00280A0F">
      <w:pPr>
        <w:pStyle w:val="ListParagraph"/>
        <w:tabs>
          <w:tab w:val="left" w:pos="7935"/>
        </w:tabs>
        <w:ind w:left="0"/>
      </w:pPr>
    </w:p>
    <w:p w14:paraId="74B49895" w14:textId="77777777" w:rsidR="00280A0F" w:rsidRDefault="00280A0F" w:rsidP="00280A0F">
      <w:pPr>
        <w:pStyle w:val="ListParagraph"/>
        <w:tabs>
          <w:tab w:val="left" w:pos="7935"/>
        </w:tabs>
        <w:ind w:left="0"/>
      </w:pPr>
      <w:r w:rsidRPr="086BE877">
        <w:rPr>
          <w:b/>
          <w:bCs/>
        </w:rPr>
        <w:t xml:space="preserve">Proposal </w:t>
      </w:r>
      <w:r>
        <w:rPr>
          <w:b/>
          <w:bCs/>
        </w:rPr>
        <w:t>3</w:t>
      </w:r>
      <w:r w:rsidRPr="086BE877">
        <w:rPr>
          <w:b/>
          <w:bCs/>
        </w:rPr>
        <w:t>: At least OBUE requirements are specified inside passband.</w:t>
      </w:r>
      <w:r>
        <w:t xml:space="preserve"> </w:t>
      </w:r>
    </w:p>
    <w:p w14:paraId="386492D9" w14:textId="77777777" w:rsidR="00280A0F" w:rsidRDefault="00280A0F" w:rsidP="00280A0F">
      <w:pPr>
        <w:pStyle w:val="ListParagraph"/>
        <w:tabs>
          <w:tab w:val="left" w:pos="7935"/>
        </w:tabs>
        <w:ind w:left="0"/>
      </w:pPr>
    </w:p>
    <w:p w14:paraId="05624EE6" w14:textId="77777777" w:rsidR="00280A0F" w:rsidRDefault="00280A0F" w:rsidP="00280A0F">
      <w:pPr>
        <w:pStyle w:val="ListParagraph"/>
        <w:tabs>
          <w:tab w:val="left" w:pos="7935"/>
        </w:tabs>
        <w:ind w:left="0"/>
        <w:rPr>
          <w:b/>
          <w:bCs/>
        </w:rPr>
      </w:pPr>
      <w:r w:rsidRPr="00350BA6">
        <w:rPr>
          <w:b/>
          <w:bCs/>
        </w:rPr>
        <w:t>Proposal 4:</w:t>
      </w:r>
      <w:r>
        <w:rPr>
          <w:b/>
          <w:bCs/>
        </w:rPr>
        <w:t xml:space="preserve"> OBUE requirements are defined for UL. </w:t>
      </w:r>
    </w:p>
    <w:p w14:paraId="00F116C1" w14:textId="77777777" w:rsidR="00904C26" w:rsidRDefault="00904C26" w:rsidP="00904C26">
      <w:pPr>
        <w:pStyle w:val="Heading1"/>
        <w:ind w:left="0" w:firstLine="0"/>
        <w:rPr>
          <w:lang w:val="en-US"/>
        </w:rPr>
      </w:pPr>
      <w:r w:rsidRPr="00A51BCB">
        <w:rPr>
          <w:lang w:val="en-US"/>
        </w:rPr>
        <w:t>References</w:t>
      </w:r>
    </w:p>
    <w:p w14:paraId="15F15B3B" w14:textId="5B653B5F" w:rsidR="00904C26" w:rsidRDefault="004E1DB4" w:rsidP="00080DA2">
      <w:pPr>
        <w:pStyle w:val="EX"/>
        <w:numPr>
          <w:ilvl w:val="0"/>
          <w:numId w:val="14"/>
        </w:numPr>
        <w:tabs>
          <w:tab w:val="clear" w:pos="720"/>
        </w:tabs>
        <w:overflowPunct/>
        <w:autoSpaceDE/>
        <w:autoSpaceDN/>
        <w:adjustRightInd/>
        <w:ind w:left="0" w:firstLine="0"/>
        <w:textAlignment w:val="auto"/>
      </w:pPr>
      <w:bookmarkStart w:id="6" w:name="_Ref67746720"/>
      <w:bookmarkStart w:id="7" w:name="_Ref67692346"/>
      <w:bookmarkStart w:id="8" w:name="_Ref66807513"/>
      <w:bookmarkStart w:id="9" w:name="_Ref67499305"/>
      <w:bookmarkStart w:id="10" w:name="_Hlk71480576"/>
      <w:r w:rsidRPr="00932B22">
        <w:t>R</w:t>
      </w:r>
      <w:r w:rsidR="00097CC6" w:rsidRPr="00932B22">
        <w:t>4</w:t>
      </w:r>
      <w:r w:rsidRPr="00932B22">
        <w:t>-21</w:t>
      </w:r>
      <w:r w:rsidR="00CB5227">
        <w:t>1572</w:t>
      </w:r>
      <w:r w:rsidR="00EF3D02">
        <w:t>2</w:t>
      </w:r>
      <w:r w:rsidRPr="009A0687">
        <w:t xml:space="preserve">, </w:t>
      </w:r>
      <w:bookmarkEnd w:id="6"/>
      <w:r w:rsidR="00EF3D02" w:rsidRPr="00EF3D02">
        <w:rPr>
          <w:i/>
          <w:iCs/>
        </w:rPr>
        <w:t>WF on NR Repeater FR2 RF</w:t>
      </w:r>
      <w:r w:rsidR="00CB5227">
        <w:rPr>
          <w:i/>
          <w:iCs/>
        </w:rPr>
        <w:t xml:space="preserve">, </w:t>
      </w:r>
      <w:r w:rsidR="00EF3D02">
        <w:t>Huawei</w:t>
      </w:r>
      <w:r>
        <w:t xml:space="preserve"> </w:t>
      </w:r>
      <w:bookmarkEnd w:id="0"/>
      <w:bookmarkEnd w:id="7"/>
      <w:bookmarkEnd w:id="8"/>
      <w:bookmarkEnd w:id="9"/>
    </w:p>
    <w:bookmarkEnd w:id="10"/>
    <w:p w14:paraId="18CF872C" w14:textId="709EEC6D" w:rsidR="001776CD" w:rsidRDefault="001776CD" w:rsidP="001776CD">
      <w:pPr>
        <w:pStyle w:val="EX"/>
        <w:tabs>
          <w:tab w:val="left" w:pos="426"/>
        </w:tabs>
        <w:overflowPunct/>
        <w:autoSpaceDE/>
        <w:autoSpaceDN/>
        <w:adjustRightInd/>
        <w:ind w:left="0" w:firstLine="0"/>
        <w:textAlignment w:val="auto"/>
      </w:pPr>
      <w:r>
        <w:t xml:space="preserve">[2] 3GPP </w:t>
      </w:r>
      <w:r w:rsidRPr="00543AFE">
        <w:t>TR 125</w:t>
      </w:r>
      <w:r>
        <w:t> </w:t>
      </w:r>
      <w:r w:rsidRPr="00543AFE">
        <w:t>956</w:t>
      </w:r>
      <w:r>
        <w:t xml:space="preserve">, </w:t>
      </w:r>
      <w:r w:rsidRPr="00CD33D1">
        <w:t>Universal Mobile Telecommunications System (UMTS);</w:t>
      </w:r>
      <w:r>
        <w:t xml:space="preserve"> </w:t>
      </w:r>
      <w:r w:rsidRPr="00CD33D1">
        <w:t>UTRA repeater: Planning guidelines and system analysis</w:t>
      </w:r>
    </w:p>
    <w:p w14:paraId="0F293918" w14:textId="3993E5EA" w:rsidR="001776CD" w:rsidRPr="00D633BC" w:rsidRDefault="001776CD" w:rsidP="00D633BC">
      <w:pPr>
        <w:pStyle w:val="EX"/>
        <w:tabs>
          <w:tab w:val="left" w:pos="426"/>
        </w:tabs>
        <w:overflowPunct/>
        <w:autoSpaceDE/>
        <w:autoSpaceDN/>
        <w:adjustRightInd/>
        <w:ind w:left="0" w:firstLine="0"/>
        <w:textAlignment w:val="auto"/>
        <w:rPr>
          <w:highlight w:val="yellow"/>
        </w:rPr>
      </w:pPr>
    </w:p>
    <w:sectPr w:rsidR="001776CD" w:rsidRPr="00D633B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9BB08" w14:textId="77777777" w:rsidR="004569FC" w:rsidRDefault="004569FC">
      <w:r>
        <w:separator/>
      </w:r>
    </w:p>
    <w:p w14:paraId="5548DEBF" w14:textId="77777777" w:rsidR="004569FC" w:rsidRDefault="004569FC"/>
  </w:endnote>
  <w:endnote w:type="continuationSeparator" w:id="0">
    <w:p w14:paraId="080D2528" w14:textId="77777777" w:rsidR="004569FC" w:rsidRDefault="004569FC">
      <w:r>
        <w:continuationSeparator/>
      </w:r>
    </w:p>
    <w:p w14:paraId="7B571FDB" w14:textId="77777777" w:rsidR="004569FC" w:rsidRDefault="004569FC"/>
  </w:endnote>
  <w:endnote w:type="continuationNotice" w:id="1">
    <w:p w14:paraId="1308240A" w14:textId="77777777" w:rsidR="004569FC" w:rsidRDefault="00456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5B379" w14:textId="77777777" w:rsidR="004569FC" w:rsidRDefault="004569FC">
      <w:r>
        <w:separator/>
      </w:r>
    </w:p>
    <w:p w14:paraId="3ED30C03" w14:textId="77777777" w:rsidR="004569FC" w:rsidRDefault="004569FC"/>
  </w:footnote>
  <w:footnote w:type="continuationSeparator" w:id="0">
    <w:p w14:paraId="009B3B9A" w14:textId="77777777" w:rsidR="004569FC" w:rsidRDefault="004569FC">
      <w:r>
        <w:continuationSeparator/>
      </w:r>
    </w:p>
    <w:p w14:paraId="5E4A3286" w14:textId="77777777" w:rsidR="004569FC" w:rsidRDefault="004569FC"/>
  </w:footnote>
  <w:footnote w:type="continuationNotice" w:id="1">
    <w:p w14:paraId="788D8CD1" w14:textId="77777777" w:rsidR="004569FC" w:rsidRDefault="00456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AE57B3B"/>
    <w:multiLevelType w:val="hybridMultilevel"/>
    <w:tmpl w:val="A97C9B0E"/>
    <w:lvl w:ilvl="0" w:tplc="FA10BCA2">
      <w:start w:val="1"/>
      <w:numFmt w:val="bullet"/>
      <w:lvlText w:val="•"/>
      <w:lvlJc w:val="left"/>
      <w:pPr>
        <w:tabs>
          <w:tab w:val="num" w:pos="720"/>
        </w:tabs>
        <w:ind w:left="720" w:hanging="360"/>
      </w:pPr>
      <w:rPr>
        <w:rFonts w:ascii="Arial" w:hAnsi="Arial" w:hint="default"/>
      </w:rPr>
    </w:lvl>
    <w:lvl w:ilvl="1" w:tplc="036A7620">
      <w:start w:val="1"/>
      <w:numFmt w:val="bullet"/>
      <w:lvlText w:val="•"/>
      <w:lvlJc w:val="left"/>
      <w:pPr>
        <w:tabs>
          <w:tab w:val="num" w:pos="1440"/>
        </w:tabs>
        <w:ind w:left="1440" w:hanging="360"/>
      </w:pPr>
      <w:rPr>
        <w:rFonts w:ascii="Arial" w:hAnsi="Arial" w:hint="default"/>
      </w:rPr>
    </w:lvl>
    <w:lvl w:ilvl="2" w:tplc="11DED01C">
      <w:numFmt w:val="bullet"/>
      <w:lvlText w:val="•"/>
      <w:lvlJc w:val="left"/>
      <w:pPr>
        <w:tabs>
          <w:tab w:val="num" w:pos="2160"/>
        </w:tabs>
        <w:ind w:left="2160" w:hanging="360"/>
      </w:pPr>
      <w:rPr>
        <w:rFonts w:ascii="Arial" w:hAnsi="Arial" w:hint="default"/>
      </w:rPr>
    </w:lvl>
    <w:lvl w:ilvl="3" w:tplc="605C2E82" w:tentative="1">
      <w:start w:val="1"/>
      <w:numFmt w:val="bullet"/>
      <w:lvlText w:val="•"/>
      <w:lvlJc w:val="left"/>
      <w:pPr>
        <w:tabs>
          <w:tab w:val="num" w:pos="2880"/>
        </w:tabs>
        <w:ind w:left="2880" w:hanging="360"/>
      </w:pPr>
      <w:rPr>
        <w:rFonts w:ascii="Arial" w:hAnsi="Arial" w:hint="default"/>
      </w:rPr>
    </w:lvl>
    <w:lvl w:ilvl="4" w:tplc="7C7409E2" w:tentative="1">
      <w:start w:val="1"/>
      <w:numFmt w:val="bullet"/>
      <w:lvlText w:val="•"/>
      <w:lvlJc w:val="left"/>
      <w:pPr>
        <w:tabs>
          <w:tab w:val="num" w:pos="3600"/>
        </w:tabs>
        <w:ind w:left="3600" w:hanging="360"/>
      </w:pPr>
      <w:rPr>
        <w:rFonts w:ascii="Arial" w:hAnsi="Arial" w:hint="default"/>
      </w:rPr>
    </w:lvl>
    <w:lvl w:ilvl="5" w:tplc="9B2E9DF2" w:tentative="1">
      <w:start w:val="1"/>
      <w:numFmt w:val="bullet"/>
      <w:lvlText w:val="•"/>
      <w:lvlJc w:val="left"/>
      <w:pPr>
        <w:tabs>
          <w:tab w:val="num" w:pos="4320"/>
        </w:tabs>
        <w:ind w:left="4320" w:hanging="360"/>
      </w:pPr>
      <w:rPr>
        <w:rFonts w:ascii="Arial" w:hAnsi="Arial" w:hint="default"/>
      </w:rPr>
    </w:lvl>
    <w:lvl w:ilvl="6" w:tplc="BF34BF70" w:tentative="1">
      <w:start w:val="1"/>
      <w:numFmt w:val="bullet"/>
      <w:lvlText w:val="•"/>
      <w:lvlJc w:val="left"/>
      <w:pPr>
        <w:tabs>
          <w:tab w:val="num" w:pos="5040"/>
        </w:tabs>
        <w:ind w:left="5040" w:hanging="360"/>
      </w:pPr>
      <w:rPr>
        <w:rFonts w:ascii="Arial" w:hAnsi="Arial" w:hint="default"/>
      </w:rPr>
    </w:lvl>
    <w:lvl w:ilvl="7" w:tplc="DD825E68" w:tentative="1">
      <w:start w:val="1"/>
      <w:numFmt w:val="bullet"/>
      <w:lvlText w:val="•"/>
      <w:lvlJc w:val="left"/>
      <w:pPr>
        <w:tabs>
          <w:tab w:val="num" w:pos="5760"/>
        </w:tabs>
        <w:ind w:left="5760" w:hanging="360"/>
      </w:pPr>
      <w:rPr>
        <w:rFonts w:ascii="Arial" w:hAnsi="Arial" w:hint="default"/>
      </w:rPr>
    </w:lvl>
    <w:lvl w:ilvl="8" w:tplc="0EA09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4F3A26"/>
    <w:multiLevelType w:val="multilevel"/>
    <w:tmpl w:val="D3E8FD7A"/>
    <w:lvl w:ilvl="0">
      <w:start w:val="1"/>
      <w:numFmt w:val="decimal"/>
      <w:lvlText w:val="%1."/>
      <w:lvlJc w:val="left"/>
      <w:pPr>
        <w:ind w:left="360" w:hanging="360"/>
      </w:pPr>
    </w:lvl>
    <w:lvl w:ilvl="1">
      <w:start w:val="1"/>
      <w:numFmt w:val="decimal"/>
      <w:isLgl/>
      <w:lvlText w:val="%1.%2"/>
      <w:lvlJc w:val="left"/>
      <w:pPr>
        <w:ind w:left="468" w:hanging="46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5C751F8"/>
    <w:multiLevelType w:val="hybridMultilevel"/>
    <w:tmpl w:val="CE32FB84"/>
    <w:lvl w:ilvl="0" w:tplc="81426596">
      <w:start w:val="1"/>
      <w:numFmt w:val="bullet"/>
      <w:lvlText w:val="•"/>
      <w:lvlJc w:val="left"/>
      <w:pPr>
        <w:tabs>
          <w:tab w:val="num" w:pos="720"/>
        </w:tabs>
        <w:ind w:left="720" w:hanging="360"/>
      </w:pPr>
      <w:rPr>
        <w:rFonts w:ascii="Arial" w:hAnsi="Arial" w:hint="default"/>
      </w:rPr>
    </w:lvl>
    <w:lvl w:ilvl="1" w:tplc="992A48EA">
      <w:start w:val="1"/>
      <w:numFmt w:val="bullet"/>
      <w:lvlText w:val="•"/>
      <w:lvlJc w:val="left"/>
      <w:pPr>
        <w:tabs>
          <w:tab w:val="num" w:pos="1440"/>
        </w:tabs>
        <w:ind w:left="1440" w:hanging="360"/>
      </w:pPr>
      <w:rPr>
        <w:rFonts w:ascii="Arial" w:hAnsi="Arial" w:hint="default"/>
      </w:rPr>
    </w:lvl>
    <w:lvl w:ilvl="2" w:tplc="9CD2A0E0">
      <w:numFmt w:val="bullet"/>
      <w:lvlText w:val="•"/>
      <w:lvlJc w:val="left"/>
      <w:pPr>
        <w:tabs>
          <w:tab w:val="num" w:pos="2160"/>
        </w:tabs>
        <w:ind w:left="2160" w:hanging="360"/>
      </w:pPr>
      <w:rPr>
        <w:rFonts w:ascii="Arial" w:hAnsi="Arial" w:hint="default"/>
      </w:rPr>
    </w:lvl>
    <w:lvl w:ilvl="3" w:tplc="3C24A2E6" w:tentative="1">
      <w:start w:val="1"/>
      <w:numFmt w:val="bullet"/>
      <w:lvlText w:val="•"/>
      <w:lvlJc w:val="left"/>
      <w:pPr>
        <w:tabs>
          <w:tab w:val="num" w:pos="2880"/>
        </w:tabs>
        <w:ind w:left="2880" w:hanging="360"/>
      </w:pPr>
      <w:rPr>
        <w:rFonts w:ascii="Arial" w:hAnsi="Arial" w:hint="default"/>
      </w:rPr>
    </w:lvl>
    <w:lvl w:ilvl="4" w:tplc="EA1601F0" w:tentative="1">
      <w:start w:val="1"/>
      <w:numFmt w:val="bullet"/>
      <w:lvlText w:val="•"/>
      <w:lvlJc w:val="left"/>
      <w:pPr>
        <w:tabs>
          <w:tab w:val="num" w:pos="3600"/>
        </w:tabs>
        <w:ind w:left="3600" w:hanging="360"/>
      </w:pPr>
      <w:rPr>
        <w:rFonts w:ascii="Arial" w:hAnsi="Arial" w:hint="default"/>
      </w:rPr>
    </w:lvl>
    <w:lvl w:ilvl="5" w:tplc="A484ED62" w:tentative="1">
      <w:start w:val="1"/>
      <w:numFmt w:val="bullet"/>
      <w:lvlText w:val="•"/>
      <w:lvlJc w:val="left"/>
      <w:pPr>
        <w:tabs>
          <w:tab w:val="num" w:pos="4320"/>
        </w:tabs>
        <w:ind w:left="4320" w:hanging="360"/>
      </w:pPr>
      <w:rPr>
        <w:rFonts w:ascii="Arial" w:hAnsi="Arial" w:hint="default"/>
      </w:rPr>
    </w:lvl>
    <w:lvl w:ilvl="6" w:tplc="697E8936" w:tentative="1">
      <w:start w:val="1"/>
      <w:numFmt w:val="bullet"/>
      <w:lvlText w:val="•"/>
      <w:lvlJc w:val="left"/>
      <w:pPr>
        <w:tabs>
          <w:tab w:val="num" w:pos="5040"/>
        </w:tabs>
        <w:ind w:left="5040" w:hanging="360"/>
      </w:pPr>
      <w:rPr>
        <w:rFonts w:ascii="Arial" w:hAnsi="Arial" w:hint="default"/>
      </w:rPr>
    </w:lvl>
    <w:lvl w:ilvl="7" w:tplc="57166030" w:tentative="1">
      <w:start w:val="1"/>
      <w:numFmt w:val="bullet"/>
      <w:lvlText w:val="•"/>
      <w:lvlJc w:val="left"/>
      <w:pPr>
        <w:tabs>
          <w:tab w:val="num" w:pos="5760"/>
        </w:tabs>
        <w:ind w:left="5760" w:hanging="360"/>
      </w:pPr>
      <w:rPr>
        <w:rFonts w:ascii="Arial" w:hAnsi="Arial" w:hint="default"/>
      </w:rPr>
    </w:lvl>
    <w:lvl w:ilvl="8" w:tplc="9796E8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F6180C"/>
    <w:multiLevelType w:val="hybridMultilevel"/>
    <w:tmpl w:val="51C2F304"/>
    <w:lvl w:ilvl="0" w:tplc="1F4876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11"/>
  </w:num>
  <w:num w:numId="3">
    <w:abstractNumId w:val="44"/>
  </w:num>
  <w:num w:numId="4">
    <w:abstractNumId w:val="9"/>
  </w:num>
  <w:num w:numId="5">
    <w:abstractNumId w:val="3"/>
  </w:num>
  <w:num w:numId="6">
    <w:abstractNumId w:val="42"/>
  </w:num>
  <w:num w:numId="7">
    <w:abstractNumId w:val="34"/>
  </w:num>
  <w:num w:numId="8">
    <w:abstractNumId w:val="40"/>
  </w:num>
  <w:num w:numId="9">
    <w:abstractNumId w:val="10"/>
  </w:num>
  <w:num w:numId="10">
    <w:abstractNumId w:val="29"/>
  </w:num>
  <w:num w:numId="11">
    <w:abstractNumId w:val="46"/>
  </w:num>
  <w:num w:numId="12">
    <w:abstractNumId w:val="18"/>
  </w:num>
  <w:num w:numId="13">
    <w:abstractNumId w:val="37"/>
  </w:num>
  <w:num w:numId="14">
    <w:abstractNumId w:val="31"/>
  </w:num>
  <w:num w:numId="15">
    <w:abstractNumId w:val="15"/>
  </w:num>
  <w:num w:numId="16">
    <w:abstractNumId w:val="6"/>
  </w:num>
  <w:num w:numId="17">
    <w:abstractNumId w:val="2"/>
  </w:num>
  <w:num w:numId="18">
    <w:abstractNumId w:val="0"/>
  </w:num>
  <w:num w:numId="19">
    <w:abstractNumId w:val="16"/>
  </w:num>
  <w:num w:numId="20">
    <w:abstractNumId w:val="5"/>
  </w:num>
  <w:num w:numId="21">
    <w:abstractNumId w:val="36"/>
  </w:num>
  <w:num w:numId="22">
    <w:abstractNumId w:val="19"/>
  </w:num>
  <w:num w:numId="23">
    <w:abstractNumId w:val="20"/>
  </w:num>
  <w:num w:numId="24">
    <w:abstractNumId w:val="23"/>
  </w:num>
  <w:num w:numId="25">
    <w:abstractNumId w:val="32"/>
  </w:num>
  <w:num w:numId="26">
    <w:abstractNumId w:val="21"/>
  </w:num>
  <w:num w:numId="27">
    <w:abstractNumId w:val="30"/>
  </w:num>
  <w:num w:numId="28">
    <w:abstractNumId w:val="33"/>
  </w:num>
  <w:num w:numId="29">
    <w:abstractNumId w:val="22"/>
  </w:num>
  <w:num w:numId="30">
    <w:abstractNumId w:val="4"/>
  </w:num>
  <w:num w:numId="31">
    <w:abstractNumId w:val="27"/>
  </w:num>
  <w:num w:numId="32">
    <w:abstractNumId w:val="17"/>
  </w:num>
  <w:num w:numId="33">
    <w:abstractNumId w:val="26"/>
  </w:num>
  <w:num w:numId="34">
    <w:abstractNumId w:val="41"/>
  </w:num>
  <w:num w:numId="35">
    <w:abstractNumId w:val="13"/>
  </w:num>
  <w:num w:numId="36">
    <w:abstractNumId w:val="1"/>
  </w:num>
  <w:num w:numId="37">
    <w:abstractNumId w:val="45"/>
  </w:num>
  <w:num w:numId="38">
    <w:abstractNumId w:val="14"/>
  </w:num>
  <w:num w:numId="39">
    <w:abstractNumId w:val="12"/>
  </w:num>
  <w:num w:numId="40">
    <w:abstractNumId w:val="39"/>
  </w:num>
  <w:num w:numId="41">
    <w:abstractNumId w:val="24"/>
  </w:num>
  <w:num w:numId="42">
    <w:abstractNumId w:val="38"/>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5"/>
  </w:num>
  <w:num w:numId="46">
    <w:abstractNumId w:val="7"/>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1FF"/>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389C"/>
    <w:rsid w:val="0007511F"/>
    <w:rsid w:val="00075853"/>
    <w:rsid w:val="00075992"/>
    <w:rsid w:val="00075E32"/>
    <w:rsid w:val="00080DA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2242"/>
    <w:rsid w:val="000A638B"/>
    <w:rsid w:val="000A6F38"/>
    <w:rsid w:val="000A79EF"/>
    <w:rsid w:val="000B1157"/>
    <w:rsid w:val="000B1954"/>
    <w:rsid w:val="000B2525"/>
    <w:rsid w:val="000B2A96"/>
    <w:rsid w:val="000B2FC0"/>
    <w:rsid w:val="000B326F"/>
    <w:rsid w:val="000B391E"/>
    <w:rsid w:val="000B3C14"/>
    <w:rsid w:val="000B4E46"/>
    <w:rsid w:val="000B5DD5"/>
    <w:rsid w:val="000B6124"/>
    <w:rsid w:val="000C168F"/>
    <w:rsid w:val="000C1AA6"/>
    <w:rsid w:val="000C20F9"/>
    <w:rsid w:val="000C25B8"/>
    <w:rsid w:val="000C2EA1"/>
    <w:rsid w:val="000C3C80"/>
    <w:rsid w:val="000C3E78"/>
    <w:rsid w:val="000C6D53"/>
    <w:rsid w:val="000D09DE"/>
    <w:rsid w:val="000D17EC"/>
    <w:rsid w:val="000D2475"/>
    <w:rsid w:val="000D2901"/>
    <w:rsid w:val="000D3827"/>
    <w:rsid w:val="000D3F6B"/>
    <w:rsid w:val="000E1DC7"/>
    <w:rsid w:val="000E2FFB"/>
    <w:rsid w:val="000E33A7"/>
    <w:rsid w:val="000E4053"/>
    <w:rsid w:val="000E507D"/>
    <w:rsid w:val="000E5833"/>
    <w:rsid w:val="000E66BC"/>
    <w:rsid w:val="000E6CF1"/>
    <w:rsid w:val="000E7556"/>
    <w:rsid w:val="000E7883"/>
    <w:rsid w:val="000E78CA"/>
    <w:rsid w:val="000F0202"/>
    <w:rsid w:val="000F0282"/>
    <w:rsid w:val="000F0764"/>
    <w:rsid w:val="000F11AD"/>
    <w:rsid w:val="000F260C"/>
    <w:rsid w:val="000F5653"/>
    <w:rsid w:val="000F6B20"/>
    <w:rsid w:val="000F70F2"/>
    <w:rsid w:val="000F7988"/>
    <w:rsid w:val="00100473"/>
    <w:rsid w:val="00102205"/>
    <w:rsid w:val="001048F9"/>
    <w:rsid w:val="00104DF9"/>
    <w:rsid w:val="00105617"/>
    <w:rsid w:val="00105EEC"/>
    <w:rsid w:val="001065D9"/>
    <w:rsid w:val="00106C93"/>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6E17"/>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87269"/>
    <w:rsid w:val="0019099F"/>
    <w:rsid w:val="00192D27"/>
    <w:rsid w:val="001943B0"/>
    <w:rsid w:val="001A0228"/>
    <w:rsid w:val="001A0E48"/>
    <w:rsid w:val="001A0F01"/>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0BD3"/>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3764F"/>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22CA"/>
    <w:rsid w:val="0027400D"/>
    <w:rsid w:val="00274E46"/>
    <w:rsid w:val="00275372"/>
    <w:rsid w:val="0027671F"/>
    <w:rsid w:val="002767DB"/>
    <w:rsid w:val="002778E8"/>
    <w:rsid w:val="00280A0F"/>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3F5A"/>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4307"/>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3939"/>
    <w:rsid w:val="00334588"/>
    <w:rsid w:val="00335528"/>
    <w:rsid w:val="0034187D"/>
    <w:rsid w:val="003429CE"/>
    <w:rsid w:val="0034380B"/>
    <w:rsid w:val="00343D24"/>
    <w:rsid w:val="0034437E"/>
    <w:rsid w:val="003447FB"/>
    <w:rsid w:val="0035047C"/>
    <w:rsid w:val="00350BA6"/>
    <w:rsid w:val="00351B9B"/>
    <w:rsid w:val="00351F8B"/>
    <w:rsid w:val="00352333"/>
    <w:rsid w:val="00352793"/>
    <w:rsid w:val="003531F6"/>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0DBC"/>
    <w:rsid w:val="003A1B84"/>
    <w:rsid w:val="003A44BA"/>
    <w:rsid w:val="003A5407"/>
    <w:rsid w:val="003A62F2"/>
    <w:rsid w:val="003A679B"/>
    <w:rsid w:val="003B30F0"/>
    <w:rsid w:val="003B3358"/>
    <w:rsid w:val="003B5B85"/>
    <w:rsid w:val="003B7306"/>
    <w:rsid w:val="003B7F0A"/>
    <w:rsid w:val="003C094E"/>
    <w:rsid w:val="003C14FE"/>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279EF"/>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0D42"/>
    <w:rsid w:val="0045193C"/>
    <w:rsid w:val="0045201E"/>
    <w:rsid w:val="00452B22"/>
    <w:rsid w:val="00453CDE"/>
    <w:rsid w:val="00455117"/>
    <w:rsid w:val="004569FC"/>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4838"/>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019"/>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2C9"/>
    <w:rsid w:val="0055745A"/>
    <w:rsid w:val="0056188C"/>
    <w:rsid w:val="00563792"/>
    <w:rsid w:val="00563866"/>
    <w:rsid w:val="00564852"/>
    <w:rsid w:val="0056618E"/>
    <w:rsid w:val="00567D8C"/>
    <w:rsid w:val="00567DF9"/>
    <w:rsid w:val="00570C54"/>
    <w:rsid w:val="005767A7"/>
    <w:rsid w:val="00577705"/>
    <w:rsid w:val="005804B5"/>
    <w:rsid w:val="005814F1"/>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3FCA"/>
    <w:rsid w:val="005A627D"/>
    <w:rsid w:val="005A7F8C"/>
    <w:rsid w:val="005B06BD"/>
    <w:rsid w:val="005B0E73"/>
    <w:rsid w:val="005B1505"/>
    <w:rsid w:val="005B1634"/>
    <w:rsid w:val="005B195C"/>
    <w:rsid w:val="005B3D5E"/>
    <w:rsid w:val="005B4B5A"/>
    <w:rsid w:val="005B54AB"/>
    <w:rsid w:val="005B54EC"/>
    <w:rsid w:val="005B77FA"/>
    <w:rsid w:val="005C1C5F"/>
    <w:rsid w:val="005C1DF1"/>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1CA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4D4"/>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99A"/>
    <w:rsid w:val="006B4CCD"/>
    <w:rsid w:val="006B511A"/>
    <w:rsid w:val="006B5233"/>
    <w:rsid w:val="006B7126"/>
    <w:rsid w:val="006C05CA"/>
    <w:rsid w:val="006C0F6F"/>
    <w:rsid w:val="006C22F4"/>
    <w:rsid w:val="006C3610"/>
    <w:rsid w:val="006C42BE"/>
    <w:rsid w:val="006C6402"/>
    <w:rsid w:val="006D1084"/>
    <w:rsid w:val="006D12CD"/>
    <w:rsid w:val="006D20FF"/>
    <w:rsid w:val="006D2664"/>
    <w:rsid w:val="006D305B"/>
    <w:rsid w:val="006D34E2"/>
    <w:rsid w:val="006D3937"/>
    <w:rsid w:val="006D4E8F"/>
    <w:rsid w:val="006D594B"/>
    <w:rsid w:val="006D7A3E"/>
    <w:rsid w:val="006D7CC2"/>
    <w:rsid w:val="006E3000"/>
    <w:rsid w:val="006E3770"/>
    <w:rsid w:val="006E54A2"/>
    <w:rsid w:val="006E67DA"/>
    <w:rsid w:val="006E6E77"/>
    <w:rsid w:val="006F0CD0"/>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AB4"/>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361B"/>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838"/>
    <w:rsid w:val="007C3E7E"/>
    <w:rsid w:val="007C66A8"/>
    <w:rsid w:val="007D02B5"/>
    <w:rsid w:val="007D0915"/>
    <w:rsid w:val="007D1202"/>
    <w:rsid w:val="007D157A"/>
    <w:rsid w:val="007D1A48"/>
    <w:rsid w:val="007D3A6D"/>
    <w:rsid w:val="007D5425"/>
    <w:rsid w:val="007D5DA8"/>
    <w:rsid w:val="007D5DE1"/>
    <w:rsid w:val="007D6B36"/>
    <w:rsid w:val="007D70D2"/>
    <w:rsid w:val="007E10F9"/>
    <w:rsid w:val="007E161C"/>
    <w:rsid w:val="007E1816"/>
    <w:rsid w:val="007E20DF"/>
    <w:rsid w:val="007E3300"/>
    <w:rsid w:val="007E34AC"/>
    <w:rsid w:val="007E3AAC"/>
    <w:rsid w:val="007E4633"/>
    <w:rsid w:val="007E48E5"/>
    <w:rsid w:val="007E6952"/>
    <w:rsid w:val="007E7D95"/>
    <w:rsid w:val="007F109F"/>
    <w:rsid w:val="007F187A"/>
    <w:rsid w:val="007F1AF1"/>
    <w:rsid w:val="007F2733"/>
    <w:rsid w:val="007F291A"/>
    <w:rsid w:val="007F2C25"/>
    <w:rsid w:val="007F5362"/>
    <w:rsid w:val="007F5E4E"/>
    <w:rsid w:val="007F6062"/>
    <w:rsid w:val="007F67F9"/>
    <w:rsid w:val="007F78C3"/>
    <w:rsid w:val="0080179A"/>
    <w:rsid w:val="00801B96"/>
    <w:rsid w:val="00802FBE"/>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263D"/>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3F6"/>
    <w:rsid w:val="009304ED"/>
    <w:rsid w:val="009326F4"/>
    <w:rsid w:val="00932B22"/>
    <w:rsid w:val="00932B7E"/>
    <w:rsid w:val="009330ED"/>
    <w:rsid w:val="0093350A"/>
    <w:rsid w:val="009349A9"/>
    <w:rsid w:val="00935241"/>
    <w:rsid w:val="00937E7F"/>
    <w:rsid w:val="0094028D"/>
    <w:rsid w:val="00940826"/>
    <w:rsid w:val="009408CD"/>
    <w:rsid w:val="009426CA"/>
    <w:rsid w:val="009436DB"/>
    <w:rsid w:val="00944B2C"/>
    <w:rsid w:val="00944BB1"/>
    <w:rsid w:val="009467E0"/>
    <w:rsid w:val="00946B2F"/>
    <w:rsid w:val="00946D1E"/>
    <w:rsid w:val="00947FA3"/>
    <w:rsid w:val="0095157D"/>
    <w:rsid w:val="009523C1"/>
    <w:rsid w:val="009529F2"/>
    <w:rsid w:val="009543B0"/>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A8A"/>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7258"/>
    <w:rsid w:val="009B01A0"/>
    <w:rsid w:val="009B152F"/>
    <w:rsid w:val="009B29EB"/>
    <w:rsid w:val="009B4C57"/>
    <w:rsid w:val="009B4F29"/>
    <w:rsid w:val="009B5895"/>
    <w:rsid w:val="009C366A"/>
    <w:rsid w:val="009C3FD8"/>
    <w:rsid w:val="009C4DA4"/>
    <w:rsid w:val="009C69E3"/>
    <w:rsid w:val="009C6C1C"/>
    <w:rsid w:val="009C7BF2"/>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5F3"/>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015"/>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4EC"/>
    <w:rsid w:val="00AE6B46"/>
    <w:rsid w:val="00AF0BAE"/>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390"/>
    <w:rsid w:val="00B1546E"/>
    <w:rsid w:val="00B17615"/>
    <w:rsid w:val="00B17AE2"/>
    <w:rsid w:val="00B20472"/>
    <w:rsid w:val="00B22145"/>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363C3"/>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3D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A7C95"/>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2B5"/>
    <w:rsid w:val="00BD1E45"/>
    <w:rsid w:val="00BD36E3"/>
    <w:rsid w:val="00BD3CBA"/>
    <w:rsid w:val="00BD4392"/>
    <w:rsid w:val="00BD4C02"/>
    <w:rsid w:val="00BD4CCA"/>
    <w:rsid w:val="00BD5F57"/>
    <w:rsid w:val="00BD7022"/>
    <w:rsid w:val="00BD73E3"/>
    <w:rsid w:val="00BE1C0B"/>
    <w:rsid w:val="00BE1FDA"/>
    <w:rsid w:val="00BE1FF0"/>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28"/>
    <w:rsid w:val="00C61F86"/>
    <w:rsid w:val="00C62802"/>
    <w:rsid w:val="00C63DE7"/>
    <w:rsid w:val="00C64EBC"/>
    <w:rsid w:val="00C652AC"/>
    <w:rsid w:val="00C6554E"/>
    <w:rsid w:val="00C70785"/>
    <w:rsid w:val="00C71294"/>
    <w:rsid w:val="00C713E6"/>
    <w:rsid w:val="00C7145D"/>
    <w:rsid w:val="00C725BD"/>
    <w:rsid w:val="00C73431"/>
    <w:rsid w:val="00C73694"/>
    <w:rsid w:val="00C763E6"/>
    <w:rsid w:val="00C76CC8"/>
    <w:rsid w:val="00C808ED"/>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4DDA"/>
    <w:rsid w:val="00CB5227"/>
    <w:rsid w:val="00CB5C01"/>
    <w:rsid w:val="00CB5F63"/>
    <w:rsid w:val="00CB6106"/>
    <w:rsid w:val="00CC06A2"/>
    <w:rsid w:val="00CC0720"/>
    <w:rsid w:val="00CC0A05"/>
    <w:rsid w:val="00CC26A6"/>
    <w:rsid w:val="00CC4CB1"/>
    <w:rsid w:val="00CC5086"/>
    <w:rsid w:val="00CC59D4"/>
    <w:rsid w:val="00CC6138"/>
    <w:rsid w:val="00CC6643"/>
    <w:rsid w:val="00CC6C23"/>
    <w:rsid w:val="00CD0571"/>
    <w:rsid w:val="00CD128F"/>
    <w:rsid w:val="00CD33D1"/>
    <w:rsid w:val="00CD3E40"/>
    <w:rsid w:val="00CD70A6"/>
    <w:rsid w:val="00CE0D19"/>
    <w:rsid w:val="00CE271C"/>
    <w:rsid w:val="00CE2FD2"/>
    <w:rsid w:val="00CE60BF"/>
    <w:rsid w:val="00CE6EAE"/>
    <w:rsid w:val="00CE7088"/>
    <w:rsid w:val="00CE777C"/>
    <w:rsid w:val="00CF0272"/>
    <w:rsid w:val="00CF2A8F"/>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37E88"/>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083"/>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C78"/>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97A72"/>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27B12"/>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85D"/>
    <w:rsid w:val="00E459C0"/>
    <w:rsid w:val="00E46182"/>
    <w:rsid w:val="00E501CB"/>
    <w:rsid w:val="00E503CE"/>
    <w:rsid w:val="00E504D1"/>
    <w:rsid w:val="00E50820"/>
    <w:rsid w:val="00E50EF3"/>
    <w:rsid w:val="00E5112B"/>
    <w:rsid w:val="00E52B1C"/>
    <w:rsid w:val="00E52B5F"/>
    <w:rsid w:val="00E55B72"/>
    <w:rsid w:val="00E5675D"/>
    <w:rsid w:val="00E57016"/>
    <w:rsid w:val="00E60E45"/>
    <w:rsid w:val="00E6161B"/>
    <w:rsid w:val="00E61EB7"/>
    <w:rsid w:val="00E62F28"/>
    <w:rsid w:val="00E66E51"/>
    <w:rsid w:val="00E70312"/>
    <w:rsid w:val="00E7035A"/>
    <w:rsid w:val="00E7113C"/>
    <w:rsid w:val="00E7181E"/>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2BB1"/>
    <w:rsid w:val="00E939D2"/>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3D02"/>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082E"/>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6FE"/>
    <w:rsid w:val="00F909A6"/>
    <w:rsid w:val="00F910AD"/>
    <w:rsid w:val="00F91AF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2EA0"/>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3BF7E3"/>
    <w:rsid w:val="03AFC053"/>
    <w:rsid w:val="03C83E54"/>
    <w:rsid w:val="03EE32FF"/>
    <w:rsid w:val="04D685F1"/>
    <w:rsid w:val="06FCB0F1"/>
    <w:rsid w:val="086BE877"/>
    <w:rsid w:val="0A37BC3C"/>
    <w:rsid w:val="0AE80AD1"/>
    <w:rsid w:val="0B4EEB0A"/>
    <w:rsid w:val="0CEABB6B"/>
    <w:rsid w:val="0DEF548E"/>
    <w:rsid w:val="0F6318BA"/>
    <w:rsid w:val="149115FE"/>
    <w:rsid w:val="163BA7F7"/>
    <w:rsid w:val="1973DE9F"/>
    <w:rsid w:val="19A5D298"/>
    <w:rsid w:val="23F94549"/>
    <w:rsid w:val="2702133A"/>
    <w:rsid w:val="2A6886CD"/>
    <w:rsid w:val="2B3B33DD"/>
    <w:rsid w:val="2BE04F18"/>
    <w:rsid w:val="2CE4777C"/>
    <w:rsid w:val="2FDD9221"/>
    <w:rsid w:val="380D2EF6"/>
    <w:rsid w:val="39271502"/>
    <w:rsid w:val="39AFDB81"/>
    <w:rsid w:val="3C73DE84"/>
    <w:rsid w:val="3E0FAEE5"/>
    <w:rsid w:val="3E90E5EF"/>
    <w:rsid w:val="41AF5E54"/>
    <w:rsid w:val="41BF0345"/>
    <w:rsid w:val="46ABA1B3"/>
    <w:rsid w:val="478FBAC7"/>
    <w:rsid w:val="4846F1D8"/>
    <w:rsid w:val="494EB7FA"/>
    <w:rsid w:val="4CF210FB"/>
    <w:rsid w:val="4D96C050"/>
    <w:rsid w:val="52512897"/>
    <w:rsid w:val="536D6069"/>
    <w:rsid w:val="53CB5A65"/>
    <w:rsid w:val="54204445"/>
    <w:rsid w:val="54551572"/>
    <w:rsid w:val="546E944F"/>
    <w:rsid w:val="583CB128"/>
    <w:rsid w:val="5865D2F6"/>
    <w:rsid w:val="5F4246AB"/>
    <w:rsid w:val="62E33550"/>
    <w:rsid w:val="652781B6"/>
    <w:rsid w:val="6AF9769D"/>
    <w:rsid w:val="6E315930"/>
    <w:rsid w:val="6E62FB0B"/>
    <w:rsid w:val="6F89A03D"/>
    <w:rsid w:val="75254727"/>
    <w:rsid w:val="78FDA044"/>
    <w:rsid w:val="79F97557"/>
    <w:rsid w:val="7D87D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C5818"/>
  <w15:chartTrackingRefBased/>
  <w15:docId w15:val="{078783FF-EF60-4310-9408-579A39C83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A0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346175">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133513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13330">
      <w:bodyDiv w:val="1"/>
      <w:marLeft w:val="0"/>
      <w:marRight w:val="0"/>
      <w:marTop w:val="0"/>
      <w:marBottom w:val="0"/>
      <w:divBdr>
        <w:top w:val="none" w:sz="0" w:space="0" w:color="auto"/>
        <w:left w:val="none" w:sz="0" w:space="0" w:color="auto"/>
        <w:bottom w:val="none" w:sz="0" w:space="0" w:color="auto"/>
        <w:right w:val="none" w:sz="0" w:space="0" w:color="auto"/>
      </w:divBdr>
      <w:divsChild>
        <w:div w:id="133111411">
          <w:marLeft w:val="547"/>
          <w:marRight w:val="0"/>
          <w:marTop w:val="100"/>
          <w:marBottom w:val="0"/>
          <w:divBdr>
            <w:top w:val="none" w:sz="0" w:space="0" w:color="auto"/>
            <w:left w:val="none" w:sz="0" w:space="0" w:color="auto"/>
            <w:bottom w:val="none" w:sz="0" w:space="0" w:color="auto"/>
            <w:right w:val="none" w:sz="0" w:space="0" w:color="auto"/>
          </w:divBdr>
        </w:div>
        <w:div w:id="309360946">
          <w:marLeft w:val="1267"/>
          <w:marRight w:val="0"/>
          <w:marTop w:val="100"/>
          <w:marBottom w:val="0"/>
          <w:divBdr>
            <w:top w:val="none" w:sz="0" w:space="0" w:color="auto"/>
            <w:left w:val="none" w:sz="0" w:space="0" w:color="auto"/>
            <w:bottom w:val="none" w:sz="0" w:space="0" w:color="auto"/>
            <w:right w:val="none" w:sz="0" w:space="0" w:color="auto"/>
          </w:divBdr>
        </w:div>
        <w:div w:id="1199856700">
          <w:marLeft w:val="547"/>
          <w:marRight w:val="0"/>
          <w:marTop w:val="100"/>
          <w:marBottom w:val="0"/>
          <w:divBdr>
            <w:top w:val="none" w:sz="0" w:space="0" w:color="auto"/>
            <w:left w:val="none" w:sz="0" w:space="0" w:color="auto"/>
            <w:bottom w:val="none" w:sz="0" w:space="0" w:color="auto"/>
            <w:right w:val="none" w:sz="0" w:space="0" w:color="auto"/>
          </w:divBdr>
        </w:div>
        <w:div w:id="1855799627">
          <w:marLeft w:val="547"/>
          <w:marRight w:val="0"/>
          <w:marTop w:val="100"/>
          <w:marBottom w:val="0"/>
          <w:divBdr>
            <w:top w:val="none" w:sz="0" w:space="0" w:color="auto"/>
            <w:left w:val="none" w:sz="0" w:space="0" w:color="auto"/>
            <w:bottom w:val="none" w:sz="0" w:space="0" w:color="auto"/>
            <w:right w:val="none" w:sz="0" w:space="0" w:color="auto"/>
          </w:divBdr>
        </w:div>
        <w:div w:id="2040281741">
          <w:marLeft w:val="1080"/>
          <w:marRight w:val="0"/>
          <w:marTop w:val="100"/>
          <w:marBottom w:val="0"/>
          <w:divBdr>
            <w:top w:val="none" w:sz="0" w:space="0" w:color="auto"/>
            <w:left w:val="none" w:sz="0" w:space="0" w:color="auto"/>
            <w:bottom w:val="none" w:sz="0" w:space="0" w:color="auto"/>
            <w:right w:val="none" w:sz="0" w:space="0" w:color="auto"/>
          </w:divBdr>
        </w:div>
      </w:divsChild>
    </w:div>
    <w:div w:id="1006130043">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8078">
      <w:bodyDiv w:val="1"/>
      <w:marLeft w:val="0"/>
      <w:marRight w:val="0"/>
      <w:marTop w:val="0"/>
      <w:marBottom w:val="0"/>
      <w:divBdr>
        <w:top w:val="none" w:sz="0" w:space="0" w:color="auto"/>
        <w:left w:val="none" w:sz="0" w:space="0" w:color="auto"/>
        <w:bottom w:val="none" w:sz="0" w:space="0" w:color="auto"/>
        <w:right w:val="none" w:sz="0" w:space="0" w:color="auto"/>
      </w:divBdr>
      <w:divsChild>
        <w:div w:id="449671871">
          <w:marLeft w:val="446"/>
          <w:marRight w:val="0"/>
          <w:marTop w:val="100"/>
          <w:marBottom w:val="0"/>
          <w:divBdr>
            <w:top w:val="none" w:sz="0" w:space="0" w:color="auto"/>
            <w:left w:val="none" w:sz="0" w:space="0" w:color="auto"/>
            <w:bottom w:val="none" w:sz="0" w:space="0" w:color="auto"/>
            <w:right w:val="none" w:sz="0" w:space="0" w:color="auto"/>
          </w:divBdr>
        </w:div>
        <w:div w:id="862089853">
          <w:marLeft w:val="446"/>
          <w:marRight w:val="0"/>
          <w:marTop w:val="100"/>
          <w:marBottom w:val="0"/>
          <w:divBdr>
            <w:top w:val="none" w:sz="0" w:space="0" w:color="auto"/>
            <w:left w:val="none" w:sz="0" w:space="0" w:color="auto"/>
            <w:bottom w:val="none" w:sz="0" w:space="0" w:color="auto"/>
            <w:right w:val="none" w:sz="0" w:space="0" w:color="auto"/>
          </w:divBdr>
        </w:div>
        <w:div w:id="1456943049">
          <w:marLeft w:val="1166"/>
          <w:marRight w:val="0"/>
          <w:marTop w:val="100"/>
          <w:marBottom w:val="0"/>
          <w:divBdr>
            <w:top w:val="none" w:sz="0" w:space="0" w:color="auto"/>
            <w:left w:val="none" w:sz="0" w:space="0" w:color="auto"/>
            <w:bottom w:val="none" w:sz="0" w:space="0" w:color="auto"/>
            <w:right w:val="none" w:sz="0" w:space="0" w:color="auto"/>
          </w:divBdr>
        </w:div>
        <w:div w:id="1889295882">
          <w:marLeft w:val="446"/>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0368899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93508012">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5AIRPNAIUNRU-1328258698-7397</_dlc_DocId>
    <_dlc_DocIdUrl xmlns="71c5aaf6-e6ce-465b-b873-5148d2a4c105">
      <Url>https://nokia.sharepoint.com/sites/c5g/5gradio/_layouts/15/DocIdRedir.aspx?ID=5AIRPNAIUNRU-1328258698-7397</Url>
      <Description>5AIRPNAIUNRU-1328258698-7397</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2EC483-4B23-4BA1-B541-9C8A8FA36E85}">
  <ds:schemaRef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purl.org/dc/dcmitype/"/>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s>
</ds:datastoreItem>
</file>

<file path=customXml/itemProps2.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6.xml><?xml version="1.0" encoding="utf-8"?>
<ds:datastoreItem xmlns:ds="http://schemas.openxmlformats.org/officeDocument/2006/customXml" ds:itemID="{7A48AC44-EF9B-4479-A55A-30253D2BE3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1086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Kapuruhamy, Manosha (Nokia - FI/Oulu)</cp:lastModifiedBy>
  <cp:revision>4</cp:revision>
  <cp:lastPrinted>2013-03-22T23:57:00Z</cp:lastPrinted>
  <dcterms:created xsi:type="dcterms:W3CDTF">2021-10-19T10:17:00Z</dcterms:created>
  <dcterms:modified xsi:type="dcterms:W3CDTF">2021-10-22T12:40:00Z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9bbac81c-cec6-4207-91f2-61a30475cbbe</vt:lpwstr>
  </property>
</Properties>
</file>